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7BC" w:rsidRDefault="002A77BC">
      <w:pPr>
        <w:pStyle w:val="Standard"/>
        <w:spacing w:before="240"/>
        <w:rPr>
          <w:b/>
          <w:szCs w:val="24"/>
          <w:lang w:val="fr-FR"/>
        </w:rPr>
      </w:pPr>
      <w:bookmarkStart w:id="0" w:name="_GoBack"/>
      <w:bookmarkEnd w:id="0"/>
    </w:p>
    <w:p w:rsidR="002A77BC" w:rsidRDefault="002A77BC">
      <w:pPr>
        <w:pStyle w:val="Standard"/>
        <w:spacing w:before="240"/>
        <w:rPr>
          <w:b/>
          <w:szCs w:val="24"/>
          <w:lang w:val="fr-FR"/>
        </w:rPr>
      </w:pPr>
    </w:p>
    <w:p w:rsidR="002A77BC" w:rsidRDefault="009172C9">
      <w:pPr>
        <w:pStyle w:val="Standard"/>
        <w:spacing w:before="240"/>
      </w:pPr>
      <w:r>
        <w:rPr>
          <w:noProof/>
          <w:lang w:val="fr-FR" w:bidi="he-IL"/>
        </w:rPr>
        <w:drawing>
          <wp:inline distT="0" distB="0" distL="0" distR="0">
            <wp:extent cx="1583649" cy="892088"/>
            <wp:effectExtent l="0" t="0" r="0" b="0"/>
            <wp:docPr id="3"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583649" cy="892088"/>
                    </a:xfrm>
                    <a:prstGeom prst="rect">
                      <a:avLst/>
                    </a:prstGeom>
                    <a:noFill/>
                    <a:ln>
                      <a:noFill/>
                      <a:prstDash/>
                    </a:ln>
                  </pic:spPr>
                </pic:pic>
              </a:graphicData>
            </a:graphic>
          </wp:inline>
        </w:drawing>
      </w:r>
    </w:p>
    <w:p w:rsidR="002A77BC" w:rsidRDefault="002A77BC">
      <w:pPr>
        <w:pStyle w:val="Standard"/>
        <w:tabs>
          <w:tab w:val="left" w:pos="5409"/>
        </w:tabs>
        <w:spacing w:before="240"/>
      </w:pPr>
    </w:p>
    <w:p w:rsidR="002A77BC" w:rsidRDefault="002A77BC">
      <w:pPr>
        <w:pStyle w:val="Standard"/>
        <w:spacing w:before="240"/>
        <w:rPr>
          <w:b/>
          <w:szCs w:val="24"/>
          <w:lang w:val="fr-FR"/>
        </w:rPr>
      </w:pPr>
    </w:p>
    <w:p w:rsidR="002A77BC" w:rsidRDefault="002A77BC">
      <w:pPr>
        <w:pStyle w:val="Standard"/>
        <w:spacing w:before="240"/>
        <w:rPr>
          <w:b/>
          <w:szCs w:val="24"/>
          <w:lang w:val="fr-FR"/>
        </w:rPr>
      </w:pPr>
    </w:p>
    <w:p w:rsidR="002A77BC" w:rsidRDefault="002A77BC">
      <w:pPr>
        <w:pStyle w:val="TitreDoc"/>
        <w:spacing w:line="480" w:lineRule="auto"/>
        <w:ind w:right="255"/>
        <w:rPr>
          <w:sz w:val="24"/>
          <w:szCs w:val="24"/>
        </w:rPr>
      </w:pPr>
    </w:p>
    <w:p w:rsidR="002A77BC" w:rsidRPr="00792119" w:rsidRDefault="009172C9">
      <w:pPr>
        <w:pStyle w:val="TitreDoc"/>
        <w:spacing w:line="480" w:lineRule="auto"/>
        <w:ind w:right="255"/>
        <w:rPr>
          <w:lang w:val="en-US"/>
        </w:rPr>
      </w:pPr>
      <w:r>
        <w:rPr>
          <w:rFonts w:ascii="Arial" w:hAnsi="Arial" w:cs="Arial"/>
          <w:sz w:val="32"/>
          <w:szCs w:val="32"/>
          <w:lang w:val="en-GB"/>
        </w:rPr>
        <w:t>USAGE AGREEMENT FOR</w:t>
      </w:r>
    </w:p>
    <w:p w:rsidR="002A77BC" w:rsidRPr="00792119" w:rsidRDefault="009172C9">
      <w:pPr>
        <w:pStyle w:val="TitreDoc"/>
        <w:spacing w:line="480" w:lineRule="auto"/>
        <w:ind w:right="255"/>
        <w:jc w:val="left"/>
        <w:rPr>
          <w:lang w:val="en-US"/>
        </w:rPr>
      </w:pPr>
      <w:r>
        <w:rPr>
          <w:rFonts w:ascii="Arial" w:hAnsi="Arial" w:cs="Arial"/>
          <w:sz w:val="32"/>
          <w:szCs w:val="32"/>
          <w:lang w:val="en-GB"/>
        </w:rPr>
        <w:t>Common Application Multiservices Citoyenne</w:t>
      </w:r>
    </w:p>
    <w:p w:rsidR="002A77BC" w:rsidRDefault="002A77BC">
      <w:pPr>
        <w:pStyle w:val="Standard"/>
        <w:jc w:val="both"/>
        <w:rPr>
          <w:szCs w:val="24"/>
        </w:rPr>
      </w:pPr>
    </w:p>
    <w:p w:rsidR="002A77BC" w:rsidRDefault="002A77BC">
      <w:pPr>
        <w:pStyle w:val="Standard"/>
        <w:jc w:val="both"/>
        <w:rPr>
          <w:szCs w:val="24"/>
        </w:rPr>
      </w:pPr>
    </w:p>
    <w:p w:rsidR="002A77BC" w:rsidRDefault="002A77BC">
      <w:pPr>
        <w:pStyle w:val="Standard"/>
        <w:jc w:val="both"/>
        <w:rPr>
          <w:szCs w:val="24"/>
        </w:rPr>
      </w:pPr>
    </w:p>
    <w:p w:rsidR="002A77BC" w:rsidRDefault="002A77BC">
      <w:pPr>
        <w:pStyle w:val="Standard"/>
        <w:jc w:val="both"/>
        <w:rPr>
          <w:szCs w:val="24"/>
        </w:rPr>
      </w:pPr>
    </w:p>
    <w:p w:rsidR="002A77BC" w:rsidRDefault="002A77BC">
      <w:pPr>
        <w:pStyle w:val="Standard"/>
        <w:jc w:val="both"/>
        <w:rPr>
          <w:szCs w:val="24"/>
        </w:rPr>
      </w:pPr>
    </w:p>
    <w:p w:rsidR="002A77BC" w:rsidRDefault="002A77BC">
      <w:pPr>
        <w:pStyle w:val="Standard"/>
        <w:jc w:val="both"/>
        <w:rPr>
          <w:szCs w:val="24"/>
        </w:rPr>
      </w:pPr>
    </w:p>
    <w:p w:rsidR="002A77BC" w:rsidRDefault="009172C9">
      <w:pPr>
        <w:pStyle w:val="Standard"/>
        <w:jc w:val="both"/>
      </w:pPr>
      <w:r>
        <w:rPr>
          <w:szCs w:val="24"/>
        </w:rPr>
        <w:t>Between</w:t>
      </w:r>
    </w:p>
    <w:p w:rsidR="002A77BC" w:rsidRDefault="002A77BC">
      <w:pPr>
        <w:pStyle w:val="Standard"/>
        <w:tabs>
          <w:tab w:val="left" w:pos="3660"/>
        </w:tabs>
        <w:jc w:val="both"/>
      </w:pPr>
    </w:p>
    <w:p w:rsidR="002A77BC" w:rsidRDefault="009172C9">
      <w:pPr>
        <w:pStyle w:val="Standard"/>
        <w:jc w:val="both"/>
      </w:pPr>
      <w:r>
        <w:rPr>
          <w:szCs w:val="24"/>
        </w:rPr>
        <w:t xml:space="preserve">ADCET, a non-profit association under French law registered in the Register under number 812 46 </w:t>
      </w:r>
      <w:r>
        <w:rPr>
          <w:szCs w:val="24"/>
        </w:rPr>
        <w:t>205, represented here by its Secretary General, Philippe Rousselet, and hereinafter referred to as "ADCET,"</w:t>
      </w:r>
    </w:p>
    <w:p w:rsidR="002A77BC" w:rsidRDefault="002A77BC">
      <w:pPr>
        <w:pStyle w:val="Standard"/>
        <w:jc w:val="both"/>
        <w:rPr>
          <w:szCs w:val="24"/>
        </w:rPr>
      </w:pPr>
    </w:p>
    <w:p w:rsidR="002A77BC" w:rsidRDefault="009172C9">
      <w:pPr>
        <w:pStyle w:val="Standard"/>
        <w:jc w:val="both"/>
      </w:pPr>
      <w:r>
        <w:rPr>
          <w:szCs w:val="24"/>
        </w:rPr>
        <w:t>And</w:t>
      </w:r>
    </w:p>
    <w:p w:rsidR="002A77BC" w:rsidRDefault="002A77BC">
      <w:pPr>
        <w:pStyle w:val="Standard"/>
        <w:jc w:val="both"/>
        <w:rPr>
          <w:szCs w:val="24"/>
        </w:rPr>
      </w:pPr>
    </w:p>
    <w:p w:rsidR="002A77BC" w:rsidRDefault="009172C9">
      <w:pPr>
        <w:pStyle w:val="Standard"/>
        <w:jc w:val="both"/>
      </w:pPr>
      <w:r>
        <w:rPr>
          <w:szCs w:val="24"/>
        </w:rPr>
        <w:t>……….. Whose registered office is located at , represented by , as and hereinafter referred to as the "User Entity,"</w:t>
      </w:r>
    </w:p>
    <w:p w:rsidR="002A77BC" w:rsidRDefault="002A77BC">
      <w:pPr>
        <w:pStyle w:val="Standard"/>
        <w:jc w:val="both"/>
        <w:rPr>
          <w:szCs w:val="24"/>
        </w:rPr>
      </w:pPr>
    </w:p>
    <w:p w:rsidR="002A77BC" w:rsidRDefault="009172C9">
      <w:pPr>
        <w:pStyle w:val="Standard"/>
        <w:jc w:val="both"/>
      </w:pPr>
      <w:r>
        <w:rPr>
          <w:szCs w:val="24"/>
        </w:rPr>
        <w:t>Hereinafter jointly refer</w:t>
      </w:r>
      <w:r>
        <w:rPr>
          <w:szCs w:val="24"/>
        </w:rPr>
        <w:t>red to as the "Parties."</w:t>
      </w:r>
    </w:p>
    <w:p w:rsidR="002A77BC" w:rsidRDefault="002A77BC">
      <w:pPr>
        <w:pStyle w:val="Standard"/>
        <w:spacing w:before="240"/>
        <w:jc w:val="center"/>
        <w:rPr>
          <w:szCs w:val="24"/>
        </w:rPr>
      </w:pPr>
    </w:p>
    <w:p w:rsidR="002A77BC" w:rsidRDefault="002A77BC">
      <w:pPr>
        <w:pStyle w:val="Standard"/>
        <w:pageBreakBefore/>
        <w:spacing w:before="240"/>
        <w:jc w:val="center"/>
        <w:rPr>
          <w:szCs w:val="24"/>
        </w:rPr>
      </w:pPr>
    </w:p>
    <w:p w:rsidR="002A77BC" w:rsidRDefault="009172C9">
      <w:pPr>
        <w:pStyle w:val="Standard"/>
        <w:spacing w:before="240"/>
        <w:jc w:val="center"/>
      </w:pPr>
      <w:r>
        <w:rPr>
          <w:b/>
          <w:smallCaps/>
          <w:sz w:val="32"/>
          <w:szCs w:val="32"/>
          <w:lang w:val="fr-FR"/>
        </w:rPr>
        <w:t>Table of Sections</w:t>
      </w:r>
    </w:p>
    <w:p w:rsidR="002A77BC" w:rsidRDefault="002A77BC">
      <w:pPr>
        <w:pStyle w:val="Standard"/>
        <w:rPr>
          <w:szCs w:val="24"/>
          <w:lang w:val="fr-FR"/>
        </w:rPr>
      </w:pPr>
    </w:p>
    <w:p w:rsidR="002A77BC" w:rsidRDefault="002A77BC">
      <w:pPr>
        <w:pStyle w:val="Standard"/>
        <w:rPr>
          <w:szCs w:val="24"/>
          <w:lang w:val="fr-FR"/>
        </w:rPr>
      </w:pPr>
    </w:p>
    <w:p w:rsidR="002A77BC" w:rsidRDefault="002A77BC">
      <w:pPr>
        <w:pStyle w:val="Standard"/>
        <w:rPr>
          <w:szCs w:val="24"/>
          <w:lang w:val="fr-FR"/>
        </w:rPr>
      </w:pPr>
    </w:p>
    <w:p w:rsidR="002A77BC" w:rsidRDefault="002A77BC">
      <w:pPr>
        <w:pStyle w:val="Standard"/>
      </w:pPr>
    </w:p>
    <w:p w:rsidR="002A77BC" w:rsidRDefault="009172C9">
      <w:pPr>
        <w:pStyle w:val="Contents1"/>
      </w:pPr>
      <w:r>
        <w:rPr>
          <w:szCs w:val="20"/>
          <w:lang w:val="en-GB"/>
        </w:rPr>
        <w:fldChar w:fldCharType="begin"/>
      </w:r>
      <w:r>
        <w:instrText xml:space="preserve"> TOC \o "1-1" \h </w:instrText>
      </w:r>
      <w:r>
        <w:rPr>
          <w:szCs w:val="20"/>
          <w:lang w:val="en-GB"/>
        </w:rPr>
        <w:fldChar w:fldCharType="separate"/>
      </w:r>
      <w:hyperlink r:id="rId8" w:history="1">
        <w:r>
          <w:t>Section 1.</w:t>
        </w:r>
      </w:hyperlink>
      <w:hyperlink r:id="rId9" w:history="1">
        <w:r>
          <w:rPr>
            <w:rFonts w:ascii="Calibri" w:eastAsia="F" w:hAnsi="Calibri" w:cs="Arial"/>
            <w:sz w:val="22"/>
            <w:szCs w:val="22"/>
          </w:rPr>
          <w:t xml:space="preserve"> </w:t>
        </w:r>
      </w:hyperlink>
      <w:hyperlink r:id="rId10" w:history="1">
        <w:r>
          <w:t>Definitions</w:t>
        </w:r>
      </w:hyperlink>
      <w:hyperlink r:id="rId11" w:history="1">
        <w:r>
          <w:t xml:space="preserve"> 3</w:t>
        </w:r>
      </w:hyperlink>
    </w:p>
    <w:p w:rsidR="002A77BC" w:rsidRDefault="009172C9">
      <w:pPr>
        <w:pStyle w:val="Contents1"/>
      </w:pPr>
      <w:hyperlink r:id="rId12" w:history="1">
        <w:r>
          <w:t>Secti</w:t>
        </w:r>
        <w:r>
          <w:t>on 2.</w:t>
        </w:r>
      </w:hyperlink>
      <w:hyperlink r:id="rId13" w:history="1">
        <w:r>
          <w:rPr>
            <w:rFonts w:ascii="Calibri" w:eastAsia="F" w:hAnsi="Calibri" w:cs="Arial"/>
            <w:sz w:val="22"/>
            <w:szCs w:val="22"/>
          </w:rPr>
          <w:t xml:space="preserve"> </w:t>
        </w:r>
      </w:hyperlink>
      <w:hyperlink r:id="rId14" w:history="1">
        <w:r>
          <w:t>Subject of the Agreement</w:t>
        </w:r>
      </w:hyperlink>
      <w:hyperlink r:id="rId15" w:history="1">
        <w:r>
          <w:t xml:space="preserve"> 4</w:t>
        </w:r>
      </w:hyperlink>
    </w:p>
    <w:p w:rsidR="002A77BC" w:rsidRDefault="009172C9">
      <w:pPr>
        <w:pStyle w:val="Contents1"/>
      </w:pPr>
      <w:hyperlink r:id="rId16" w:history="1">
        <w:r>
          <w:t>Section 3.</w:t>
        </w:r>
      </w:hyperlink>
      <w:hyperlink r:id="rId17" w:history="1">
        <w:r>
          <w:rPr>
            <w:rFonts w:ascii="Calibri" w:eastAsia="F" w:hAnsi="Calibri" w:cs="Arial"/>
            <w:sz w:val="22"/>
            <w:szCs w:val="22"/>
          </w:rPr>
          <w:t xml:space="preserve"> </w:t>
        </w:r>
      </w:hyperlink>
      <w:hyperlink r:id="rId18" w:history="1">
        <w:r>
          <w:t xml:space="preserve">Free of charge </w:t>
        </w:r>
        <w:r>
          <w:t>agreement</w:t>
        </w:r>
      </w:hyperlink>
      <w:hyperlink r:id="rId19" w:history="1">
        <w:r>
          <w:t xml:space="preserve"> 5</w:t>
        </w:r>
      </w:hyperlink>
    </w:p>
    <w:p w:rsidR="002A77BC" w:rsidRDefault="009172C9">
      <w:pPr>
        <w:pStyle w:val="Contents1"/>
      </w:pPr>
      <w:hyperlink r:id="rId20" w:history="1">
        <w:r>
          <w:t>Section 4.</w:t>
        </w:r>
      </w:hyperlink>
      <w:hyperlink r:id="rId21" w:history="1">
        <w:r>
          <w:rPr>
            <w:rFonts w:ascii="Calibri" w:eastAsia="F" w:hAnsi="Calibri" w:cs="Arial"/>
            <w:sz w:val="22"/>
            <w:szCs w:val="22"/>
          </w:rPr>
          <w:t xml:space="preserve"> </w:t>
        </w:r>
      </w:hyperlink>
      <w:hyperlink r:id="rId22" w:history="1">
        <w:r>
          <w:t>Obligations of the User Entity</w:t>
        </w:r>
      </w:hyperlink>
      <w:hyperlink r:id="rId23" w:history="1">
        <w:r>
          <w:t xml:space="preserve"> 5</w:t>
        </w:r>
      </w:hyperlink>
    </w:p>
    <w:p w:rsidR="002A77BC" w:rsidRDefault="009172C9">
      <w:pPr>
        <w:pStyle w:val="Contents1"/>
      </w:pPr>
      <w:hyperlink r:id="rId24" w:history="1">
        <w:r>
          <w:t xml:space="preserve">Section </w:t>
        </w:r>
        <w:r>
          <w:t>5.</w:t>
        </w:r>
      </w:hyperlink>
      <w:hyperlink r:id="rId25" w:history="1">
        <w:r>
          <w:rPr>
            <w:rFonts w:ascii="Calibri" w:eastAsia="F" w:hAnsi="Calibri" w:cs="Arial"/>
            <w:sz w:val="22"/>
            <w:szCs w:val="22"/>
          </w:rPr>
          <w:t xml:space="preserve"> </w:t>
        </w:r>
      </w:hyperlink>
      <w:hyperlink r:id="rId26" w:history="1">
        <w:r>
          <w:t>Obligations of ADCET</w:t>
        </w:r>
      </w:hyperlink>
      <w:hyperlink r:id="rId27" w:history="1">
        <w:r>
          <w:t xml:space="preserve"> 5</w:t>
        </w:r>
      </w:hyperlink>
    </w:p>
    <w:p w:rsidR="002A77BC" w:rsidRDefault="009172C9">
      <w:pPr>
        <w:pStyle w:val="Contents1"/>
      </w:pPr>
      <w:hyperlink r:id="rId28" w:history="1">
        <w:r>
          <w:t>Section 6.</w:t>
        </w:r>
      </w:hyperlink>
      <w:r>
        <w:t xml:space="preserve"> </w:t>
      </w:r>
      <w:hyperlink r:id="rId29" w:history="1"/>
      <w:hyperlink r:id="rId30" w:history="1">
        <w:r>
          <w:t>Responsibilities</w:t>
        </w:r>
      </w:hyperlink>
      <w:hyperlink r:id="rId31" w:history="1">
        <w:r>
          <w:t xml:space="preserve"> 6</w:t>
        </w:r>
      </w:hyperlink>
    </w:p>
    <w:p w:rsidR="002A77BC" w:rsidRDefault="009172C9">
      <w:pPr>
        <w:pStyle w:val="Contents1"/>
      </w:pPr>
      <w:hyperlink r:id="rId32" w:history="1">
        <w:r>
          <w:t>Section 7.</w:t>
        </w:r>
      </w:hyperlink>
      <w:hyperlink r:id="rId33" w:history="1">
        <w:r>
          <w:rPr>
            <w:rFonts w:ascii="Calibri" w:eastAsia="F" w:hAnsi="Calibri" w:cs="Arial"/>
            <w:sz w:val="22"/>
            <w:szCs w:val="22"/>
          </w:rPr>
          <w:t xml:space="preserve"> </w:t>
        </w:r>
      </w:hyperlink>
      <w:hyperlink r:id="rId34" w:history="1">
        <w:r>
          <w:t>Confidentiality</w:t>
        </w:r>
      </w:hyperlink>
      <w:hyperlink r:id="rId35" w:history="1">
        <w:r>
          <w:t xml:space="preserve"> 6</w:t>
        </w:r>
      </w:hyperlink>
    </w:p>
    <w:p w:rsidR="002A77BC" w:rsidRDefault="009172C9">
      <w:pPr>
        <w:pStyle w:val="Contents1"/>
      </w:pPr>
      <w:hyperlink r:id="rId36" w:history="1">
        <w:r>
          <w:t>Section 8.</w:t>
        </w:r>
      </w:hyperlink>
      <w:hyperlink r:id="rId37" w:history="1">
        <w:r>
          <w:rPr>
            <w:rFonts w:ascii="Calibri" w:eastAsia="F" w:hAnsi="Calibri" w:cs="Arial"/>
            <w:sz w:val="22"/>
            <w:szCs w:val="22"/>
          </w:rPr>
          <w:t xml:space="preserve"> </w:t>
        </w:r>
      </w:hyperlink>
      <w:hyperlink r:id="rId38" w:history="1">
        <w:r>
          <w:t>Ownership</w:t>
        </w:r>
      </w:hyperlink>
      <w:hyperlink r:id="rId39" w:history="1">
        <w:r>
          <w:t xml:space="preserve"> 7</w:t>
        </w:r>
      </w:hyperlink>
    </w:p>
    <w:p w:rsidR="002A77BC" w:rsidRDefault="009172C9">
      <w:pPr>
        <w:pStyle w:val="Contents1"/>
      </w:pPr>
      <w:hyperlink r:id="rId40" w:history="1">
        <w:r>
          <w:t>Section 9.</w:t>
        </w:r>
      </w:hyperlink>
      <w:hyperlink r:id="rId41" w:history="1">
        <w:r>
          <w:rPr>
            <w:rFonts w:ascii="Calibri" w:eastAsia="F" w:hAnsi="Calibri" w:cs="Arial"/>
            <w:sz w:val="22"/>
            <w:szCs w:val="22"/>
          </w:rPr>
          <w:t xml:space="preserve"> </w:t>
        </w:r>
      </w:hyperlink>
      <w:hyperlink r:id="rId42" w:history="1">
        <w:r>
          <w:t>Entry into force, duration, termination</w:t>
        </w:r>
      </w:hyperlink>
      <w:hyperlink r:id="rId43" w:history="1">
        <w:r>
          <w:t xml:space="preserve"> 7</w:t>
        </w:r>
      </w:hyperlink>
    </w:p>
    <w:p w:rsidR="002A77BC" w:rsidRDefault="009172C9">
      <w:pPr>
        <w:pStyle w:val="Contents1"/>
      </w:pPr>
      <w:hyperlink r:id="rId44" w:history="1">
        <w:r>
          <w:t>Section 10.</w:t>
        </w:r>
      </w:hyperlink>
      <w:hyperlink r:id="rId45" w:history="1">
        <w:r>
          <w:rPr>
            <w:rFonts w:ascii="Calibri" w:eastAsia="F" w:hAnsi="Calibri" w:cs="Arial"/>
            <w:sz w:val="22"/>
            <w:szCs w:val="22"/>
          </w:rPr>
          <w:t xml:space="preserve"> </w:t>
        </w:r>
      </w:hyperlink>
      <w:hyperlink r:id="rId46" w:history="1">
        <w:r>
          <w:t>Entire Agreement</w:t>
        </w:r>
      </w:hyperlink>
      <w:hyperlink r:id="rId47" w:history="1">
        <w:r>
          <w:t xml:space="preserve"> 8</w:t>
        </w:r>
      </w:hyperlink>
    </w:p>
    <w:p w:rsidR="002A77BC" w:rsidRDefault="009172C9">
      <w:pPr>
        <w:pStyle w:val="Contents1"/>
      </w:pPr>
      <w:hyperlink r:id="rId48" w:history="1">
        <w:r>
          <w:t>Section 11.</w:t>
        </w:r>
      </w:hyperlink>
      <w:hyperlink r:id="rId49" w:history="1">
        <w:r>
          <w:rPr>
            <w:rFonts w:ascii="Calibri" w:eastAsia="F" w:hAnsi="Calibri" w:cs="Arial"/>
            <w:sz w:val="22"/>
            <w:szCs w:val="22"/>
          </w:rPr>
          <w:t xml:space="preserve"> </w:t>
        </w:r>
      </w:hyperlink>
      <w:hyperlink r:id="rId50" w:history="1">
        <w:r>
          <w:t>Intuitu Personae</w:t>
        </w:r>
      </w:hyperlink>
      <w:hyperlink r:id="rId51" w:history="1">
        <w:r>
          <w:t xml:space="preserve"> 8</w:t>
        </w:r>
      </w:hyperlink>
    </w:p>
    <w:p w:rsidR="002A77BC" w:rsidRDefault="009172C9">
      <w:pPr>
        <w:pStyle w:val="Contents1"/>
      </w:pPr>
      <w:hyperlink r:id="rId52" w:history="1">
        <w:r>
          <w:t>Section 12.</w:t>
        </w:r>
      </w:hyperlink>
      <w:hyperlink r:id="rId53" w:history="1">
        <w:r>
          <w:rPr>
            <w:rFonts w:ascii="Calibri" w:eastAsia="F" w:hAnsi="Calibri" w:cs="Arial"/>
            <w:sz w:val="22"/>
            <w:szCs w:val="22"/>
          </w:rPr>
          <w:t xml:space="preserve"> </w:t>
        </w:r>
      </w:hyperlink>
      <w:hyperlink r:id="rId54" w:history="1">
        <w:r>
          <w:t>Severability of clauses</w:t>
        </w:r>
      </w:hyperlink>
      <w:hyperlink r:id="rId55" w:history="1">
        <w:r>
          <w:t xml:space="preserve"> 8</w:t>
        </w:r>
      </w:hyperlink>
    </w:p>
    <w:p w:rsidR="002A77BC" w:rsidRDefault="009172C9">
      <w:pPr>
        <w:pStyle w:val="Contents1"/>
      </w:pPr>
      <w:hyperlink r:id="rId56" w:history="1">
        <w:r>
          <w:t>Section 13.</w:t>
        </w:r>
      </w:hyperlink>
      <w:hyperlink r:id="rId57" w:history="1">
        <w:r>
          <w:rPr>
            <w:rFonts w:ascii="Calibri" w:eastAsia="F" w:hAnsi="Calibri" w:cs="Arial"/>
            <w:sz w:val="22"/>
            <w:szCs w:val="22"/>
          </w:rPr>
          <w:t xml:space="preserve"> </w:t>
        </w:r>
      </w:hyperlink>
      <w:hyperlink r:id="rId58" w:history="1">
        <w:r>
          <w:t>Disputes</w:t>
        </w:r>
      </w:hyperlink>
      <w:hyperlink r:id="rId59" w:history="1">
        <w:r>
          <w:t xml:space="preserve"> 8</w:t>
        </w:r>
      </w:hyperlink>
    </w:p>
    <w:p w:rsidR="002A77BC" w:rsidRDefault="002A77BC">
      <w:pPr>
        <w:pStyle w:val="Contents1"/>
        <w:rPr>
          <w:shd w:val="clear" w:color="auto" w:fill="FFFF00"/>
        </w:rPr>
      </w:pPr>
    </w:p>
    <w:p w:rsidR="002A77BC" w:rsidRDefault="009172C9">
      <w:pPr>
        <w:pStyle w:val="Contents1"/>
      </w:pPr>
      <w:r>
        <w:fldChar w:fldCharType="end"/>
      </w:r>
    </w:p>
    <w:p w:rsidR="002A77BC" w:rsidRDefault="009172C9">
      <w:pPr>
        <w:pStyle w:val="Contents1"/>
        <w:pageBreakBefore/>
      </w:pPr>
      <w:r>
        <w:lastRenderedPageBreak/>
        <w:t>Preamble</w:t>
      </w:r>
    </w:p>
    <w:p w:rsidR="002A77BC" w:rsidRPr="00792119" w:rsidRDefault="009172C9">
      <w:pPr>
        <w:pStyle w:val="premablelist"/>
        <w:numPr>
          <w:ilvl w:val="0"/>
          <w:numId w:val="47"/>
        </w:numPr>
        <w:rPr>
          <w:lang w:val="en-US"/>
        </w:rPr>
      </w:pPr>
      <w:r>
        <w:rPr>
          <w:szCs w:val="24"/>
          <w:lang w:val="en-GB"/>
        </w:rPr>
        <w:t xml:space="preserve">The ADCET Association has specified an application for the management of several services with a </w:t>
      </w:r>
      <w:r>
        <w:rPr>
          <w:szCs w:val="24"/>
          <w:lang w:val="en-GB"/>
        </w:rPr>
        <w:t xml:space="preserve">single support, known as </w:t>
      </w:r>
      <w:r>
        <w:rPr>
          <w:smallCaps/>
          <w:szCs w:val="24"/>
          <w:lang w:val="en-GB"/>
        </w:rPr>
        <w:t xml:space="preserve">Application Multiservices Citoyenne, </w:t>
      </w:r>
      <w:r>
        <w:rPr>
          <w:szCs w:val="24"/>
          <w:lang w:val="en-GB"/>
        </w:rPr>
        <w:t>hereinafter referred to as "AMC," which has been registered as an AFNOR Standard under the number XP 99-508.</w:t>
      </w:r>
    </w:p>
    <w:p w:rsidR="002A77BC" w:rsidRPr="00792119" w:rsidRDefault="009172C9">
      <w:pPr>
        <w:pStyle w:val="premablelist"/>
        <w:numPr>
          <w:ilvl w:val="0"/>
          <w:numId w:val="36"/>
        </w:numPr>
        <w:rPr>
          <w:lang w:val="en-US"/>
        </w:rPr>
      </w:pPr>
      <w:r>
        <w:rPr>
          <w:szCs w:val="24"/>
          <w:lang w:val="en-GB"/>
        </w:rPr>
        <w:t>The AMC specification is made available to any entity responsible for issuing or acce</w:t>
      </w:r>
      <w:r>
        <w:rPr>
          <w:szCs w:val="24"/>
          <w:lang w:val="en-GB"/>
        </w:rPr>
        <w:t>pting media for multiservice applications, and in particular, but not limited to: local authorities, transport operators, issuers of portable media that can be used in a multiservice context, card and terminal manufacturers, software publishers and service</w:t>
      </w:r>
      <w:r>
        <w:rPr>
          <w:szCs w:val="24"/>
          <w:lang w:val="en-GB"/>
        </w:rPr>
        <w:t xml:space="preserve"> providers.</w:t>
      </w:r>
    </w:p>
    <w:p w:rsidR="002A77BC" w:rsidRPr="00792119" w:rsidRDefault="009172C9">
      <w:pPr>
        <w:pStyle w:val="premablelist"/>
        <w:numPr>
          <w:ilvl w:val="0"/>
          <w:numId w:val="36"/>
        </w:numPr>
        <w:rPr>
          <w:lang w:val="en-US"/>
        </w:rPr>
      </w:pPr>
      <w:r>
        <w:rPr>
          <w:szCs w:val="24"/>
          <w:lang w:val="en-GB"/>
        </w:rPr>
        <w:t>The implementation of Common AMC consists of:</w:t>
      </w:r>
    </w:p>
    <w:p w:rsidR="002A77BC" w:rsidRPr="00792119" w:rsidRDefault="009172C9">
      <w:pPr>
        <w:pStyle w:val="premablelist"/>
        <w:numPr>
          <w:ilvl w:val="1"/>
          <w:numId w:val="36"/>
        </w:numPr>
        <w:tabs>
          <w:tab w:val="left" w:pos="1418"/>
        </w:tabs>
        <w:spacing w:before="0"/>
        <w:ind w:left="709" w:hanging="284"/>
        <w:rPr>
          <w:lang w:val="en-US"/>
        </w:rPr>
      </w:pPr>
      <w:r>
        <w:rPr>
          <w:szCs w:val="24"/>
          <w:lang w:val="en-GB"/>
        </w:rPr>
        <w:t>An implementation of the AMC specifications on any medium (such as card, mobile, etc.).</w:t>
      </w:r>
    </w:p>
    <w:p w:rsidR="002A77BC" w:rsidRPr="00792119" w:rsidRDefault="009172C9">
      <w:pPr>
        <w:pStyle w:val="premablelist"/>
        <w:numPr>
          <w:ilvl w:val="1"/>
          <w:numId w:val="36"/>
        </w:numPr>
        <w:tabs>
          <w:tab w:val="left" w:pos="1418"/>
        </w:tabs>
        <w:spacing w:before="0"/>
        <w:ind w:left="709" w:hanging="284"/>
        <w:rPr>
          <w:lang w:val="en-US"/>
        </w:rPr>
      </w:pPr>
      <w:r>
        <w:rPr>
          <w:szCs w:val="24"/>
          <w:lang w:val="en-GB"/>
        </w:rPr>
        <w:t>A set of keys made available, directly or indirectly, by ADCET to any entity that wishes to issue media includ</w:t>
      </w:r>
      <w:r>
        <w:rPr>
          <w:szCs w:val="24"/>
          <w:lang w:val="en-GB"/>
        </w:rPr>
        <w:t xml:space="preserve">ing the </w:t>
      </w:r>
      <w:r>
        <w:rPr>
          <w:smallCaps/>
          <w:szCs w:val="24"/>
          <w:lang w:val="en-GB"/>
        </w:rPr>
        <w:t>Common AMC application</w:t>
      </w:r>
      <w:r>
        <w:rPr>
          <w:szCs w:val="24"/>
          <w:lang w:val="en-GB"/>
        </w:rPr>
        <w:t xml:space="preserve"> and/or that wishes to accept media on acceptance terminals.</w:t>
      </w:r>
    </w:p>
    <w:p w:rsidR="002A77BC" w:rsidRPr="00792119" w:rsidRDefault="009172C9">
      <w:pPr>
        <w:pStyle w:val="premablelist"/>
        <w:numPr>
          <w:ilvl w:val="1"/>
          <w:numId w:val="36"/>
        </w:numPr>
        <w:tabs>
          <w:tab w:val="left" w:pos="1418"/>
        </w:tabs>
        <w:spacing w:before="0"/>
        <w:ind w:left="709" w:hanging="283"/>
        <w:rPr>
          <w:lang w:val="en-US"/>
        </w:rPr>
      </w:pPr>
      <w:r>
        <w:rPr>
          <w:szCs w:val="24"/>
          <w:lang w:val="en-GB"/>
        </w:rPr>
        <w:t xml:space="preserve">A set of rules for the proper use of </w:t>
      </w:r>
      <w:r>
        <w:rPr>
          <w:smallCaps/>
          <w:szCs w:val="24"/>
          <w:lang w:val="en-GB"/>
        </w:rPr>
        <w:t>Common AMC</w:t>
      </w:r>
      <w:r>
        <w:rPr>
          <w:szCs w:val="24"/>
          <w:lang w:val="en-GB"/>
        </w:rPr>
        <w:t xml:space="preserve"> components, which all </w:t>
      </w:r>
      <w:r>
        <w:rPr>
          <w:smallCaps/>
          <w:szCs w:val="24"/>
          <w:lang w:val="en-GB"/>
        </w:rPr>
        <w:t>Common AMC</w:t>
      </w:r>
      <w:r>
        <w:rPr>
          <w:szCs w:val="24"/>
          <w:lang w:val="en-GB"/>
        </w:rPr>
        <w:t xml:space="preserve"> User Entities must undertake to comply with.</w:t>
      </w:r>
    </w:p>
    <w:p w:rsidR="002A77BC" w:rsidRPr="00792119" w:rsidRDefault="009172C9">
      <w:pPr>
        <w:pStyle w:val="premablelist"/>
        <w:numPr>
          <w:ilvl w:val="0"/>
          <w:numId w:val="36"/>
        </w:numPr>
        <w:spacing w:after="120"/>
        <w:ind w:left="357" w:firstLine="0"/>
        <w:rPr>
          <w:lang w:val="en-US"/>
        </w:rPr>
      </w:pPr>
      <w:r>
        <w:rPr>
          <w:szCs w:val="24"/>
          <w:lang w:val="en-GB"/>
        </w:rPr>
        <w:t>In addition to its security principles,</w:t>
      </w:r>
      <w:r>
        <w:rPr>
          <w:szCs w:val="24"/>
          <w:lang w:val="en-GB"/>
        </w:rPr>
        <w:t xml:space="preserve"> AMC relies on its partners' compliance with a certain number of management rules described in the specifications of the application. In the interest of all, it is therefore useful for ADCET to be able to ensure compliance with these rules.</w:t>
      </w:r>
    </w:p>
    <w:p w:rsidR="002A77BC" w:rsidRPr="00792119" w:rsidRDefault="009172C9">
      <w:pPr>
        <w:pStyle w:val="premablelist"/>
        <w:numPr>
          <w:ilvl w:val="0"/>
          <w:numId w:val="36"/>
        </w:numPr>
        <w:spacing w:after="120"/>
        <w:ind w:left="357" w:firstLine="0"/>
        <w:rPr>
          <w:lang w:val="en-US"/>
        </w:rPr>
      </w:pPr>
      <w:r>
        <w:rPr>
          <w:szCs w:val="24"/>
          <w:lang w:val="en-GB"/>
        </w:rPr>
        <w:t xml:space="preserve">Access to </w:t>
      </w:r>
      <w:r>
        <w:rPr>
          <w:smallCaps/>
          <w:szCs w:val="24"/>
          <w:lang w:val="en-GB"/>
        </w:rPr>
        <w:t>Commo</w:t>
      </w:r>
      <w:r>
        <w:rPr>
          <w:smallCaps/>
          <w:szCs w:val="24"/>
          <w:lang w:val="en-GB"/>
        </w:rPr>
        <w:t>n AMC</w:t>
      </w:r>
      <w:r>
        <w:rPr>
          <w:szCs w:val="24"/>
          <w:lang w:val="en-GB"/>
        </w:rPr>
        <w:t xml:space="preserve"> at any level requires the approval of ADCET, which may decide to refuse an entity's request to participate if that entity does not offer all the guarantees of acceptance and implementation of the </w:t>
      </w:r>
      <w:r>
        <w:rPr>
          <w:smallCaps/>
          <w:szCs w:val="24"/>
          <w:lang w:val="en-GB"/>
        </w:rPr>
        <w:t>Common AMC</w:t>
      </w:r>
      <w:r>
        <w:rPr>
          <w:szCs w:val="24"/>
          <w:lang w:val="en-GB"/>
        </w:rPr>
        <w:t>’s security and usage rules.</w:t>
      </w:r>
    </w:p>
    <w:p w:rsidR="002A77BC" w:rsidRPr="00792119" w:rsidRDefault="009172C9">
      <w:pPr>
        <w:pStyle w:val="premablelist"/>
        <w:numPr>
          <w:ilvl w:val="0"/>
          <w:numId w:val="36"/>
        </w:numPr>
        <w:spacing w:before="0" w:after="120"/>
        <w:ind w:left="357" w:hanging="357"/>
        <w:rPr>
          <w:lang w:val="en-US"/>
        </w:rPr>
      </w:pPr>
      <w:r>
        <w:rPr>
          <w:szCs w:val="24"/>
          <w:lang w:val="en-GB"/>
        </w:rPr>
        <w:t>In the event of</w:t>
      </w:r>
      <w:r>
        <w:rPr>
          <w:szCs w:val="24"/>
          <w:lang w:val="en-GB"/>
        </w:rPr>
        <w:t xml:space="preserve"> agreement, the entity that wishes to implement </w:t>
      </w:r>
      <w:r>
        <w:rPr>
          <w:smallCaps/>
          <w:szCs w:val="24"/>
          <w:lang w:val="en-GB"/>
        </w:rPr>
        <w:t>Common AMC</w:t>
      </w:r>
      <w:r>
        <w:rPr>
          <w:szCs w:val="24"/>
          <w:lang w:val="en-GB"/>
        </w:rPr>
        <w:t xml:space="preserve"> shall sign, together with ADCET, the Common AMC Application Usage Agreement, which is the subject of this document</w:t>
      </w:r>
      <w:r>
        <w:rPr>
          <w:i/>
          <w:szCs w:val="24"/>
          <w:lang w:val="en-GB"/>
        </w:rPr>
        <w:t>.</w:t>
      </w:r>
    </w:p>
    <w:p w:rsidR="002A77BC" w:rsidRDefault="002A77BC">
      <w:pPr>
        <w:pStyle w:val="Standard"/>
        <w:rPr>
          <w:szCs w:val="24"/>
        </w:rPr>
      </w:pPr>
    </w:p>
    <w:p w:rsidR="002A77BC" w:rsidRDefault="009172C9">
      <w:pPr>
        <w:pStyle w:val="Standard"/>
        <w:jc w:val="both"/>
      </w:pPr>
      <w:r>
        <w:rPr>
          <w:b/>
          <w:szCs w:val="24"/>
        </w:rPr>
        <w:t>IN WITNESS WHEREOF, IT HAS BEEN AGREED AS FOLLOWS:</w:t>
      </w:r>
      <w:bookmarkStart w:id="1" w:name="_Toc349134500"/>
      <w:bookmarkStart w:id="2" w:name="_Toc349134452"/>
      <w:bookmarkEnd w:id="1"/>
      <w:bookmarkEnd w:id="2"/>
    </w:p>
    <w:p w:rsidR="002A77BC" w:rsidRDefault="009172C9">
      <w:pPr>
        <w:pStyle w:val="Standard"/>
        <w:keepNext/>
        <w:numPr>
          <w:ilvl w:val="0"/>
          <w:numId w:val="48"/>
        </w:numPr>
        <w:spacing w:before="240"/>
        <w:jc w:val="both"/>
      </w:pPr>
      <w:bookmarkStart w:id="3" w:name="_Toc488074632"/>
      <w:r>
        <w:rPr>
          <w:b/>
          <w:szCs w:val="24"/>
          <w:lang w:val="fr-FR"/>
        </w:rPr>
        <w:t>Definitions</w:t>
      </w:r>
      <w:bookmarkEnd w:id="3"/>
    </w:p>
    <w:p w:rsidR="002A77BC" w:rsidRPr="00792119" w:rsidRDefault="009172C9">
      <w:pPr>
        <w:pStyle w:val="Titre2"/>
        <w:rPr>
          <w:lang w:val="en-US"/>
        </w:rPr>
      </w:pPr>
      <w:r>
        <w:rPr>
          <w:lang w:val="en-GB"/>
        </w:rPr>
        <w:t>"Portable Object"</w:t>
      </w:r>
      <w:r>
        <w:rPr>
          <w:lang w:val="en-GB"/>
        </w:rPr>
        <w:t xml:space="preserve"> means the media on which the </w:t>
      </w:r>
      <w:r>
        <w:rPr>
          <w:smallCaps/>
          <w:lang w:val="en-GB"/>
        </w:rPr>
        <w:t>AMC</w:t>
      </w:r>
      <w:r>
        <w:rPr>
          <w:lang w:val="en-GB"/>
        </w:rPr>
        <w:t xml:space="preserve"> Application is supplied, for example, a dedicated contactless card, Java Card, NFC phone, etc.</w:t>
      </w:r>
    </w:p>
    <w:p w:rsidR="002A77BC" w:rsidRDefault="009172C9">
      <w:pPr>
        <w:pStyle w:val="Titre2"/>
        <w:rPr>
          <w:lang w:val="en-GB"/>
        </w:rPr>
      </w:pPr>
      <w:r>
        <w:rPr>
          <w:lang w:val="en-GB"/>
        </w:rPr>
        <w:t>"Calypso Application Version 3" means an application that complies with the Calypso Version 3 Specifications.</w:t>
      </w:r>
    </w:p>
    <w:p w:rsidR="002A77BC" w:rsidRDefault="009172C9">
      <w:pPr>
        <w:pStyle w:val="Titre2"/>
        <w:rPr>
          <w:lang w:val="en-GB"/>
        </w:rPr>
      </w:pPr>
      <w:r>
        <w:rPr>
          <w:lang w:val="en-GB"/>
        </w:rPr>
        <w:t xml:space="preserve">"Calypso Version </w:t>
      </w:r>
      <w:r>
        <w:rPr>
          <w:lang w:val="en-GB"/>
        </w:rPr>
        <w:t>3 Specifications" means the specification documents for a Calypso Version 3 Application in a Portable Object available on the CNA Technical Support website (http://www.calypsostandard.net/).</w:t>
      </w:r>
    </w:p>
    <w:p w:rsidR="002A77BC" w:rsidRPr="00792119" w:rsidRDefault="009172C9">
      <w:pPr>
        <w:pStyle w:val="Titre2"/>
        <w:rPr>
          <w:lang w:val="en-US"/>
        </w:rPr>
      </w:pPr>
      <w:r>
        <w:rPr>
          <w:lang w:val="en-GB"/>
        </w:rPr>
        <w:t xml:space="preserve">"AMC Specifications" means the specification document for the </w:t>
      </w:r>
      <w:r>
        <w:rPr>
          <w:smallCaps/>
          <w:lang w:val="en-GB"/>
        </w:rPr>
        <w:t>AMC</w:t>
      </w:r>
      <w:r>
        <w:rPr>
          <w:lang w:val="en-GB"/>
        </w:rPr>
        <w:t xml:space="preserve"> Application, available on the AFNOR website at: https://www.boutique.afnor.org/standards.</w:t>
      </w:r>
    </w:p>
    <w:p w:rsidR="002A77BC" w:rsidRPr="00792119" w:rsidRDefault="009172C9">
      <w:pPr>
        <w:pStyle w:val="Titre2"/>
        <w:rPr>
          <w:lang w:val="en-US"/>
        </w:rPr>
      </w:pPr>
      <w:r>
        <w:rPr>
          <w:lang w:val="en-GB"/>
        </w:rPr>
        <w:t>"</w:t>
      </w:r>
      <w:r>
        <w:rPr>
          <w:smallCaps/>
          <w:lang w:val="en-GB"/>
        </w:rPr>
        <w:t>Common AMC</w:t>
      </w:r>
      <w:r>
        <w:rPr>
          <w:lang w:val="en-GB"/>
        </w:rPr>
        <w:t xml:space="preserve"> Keys" means the cryptographic keys used during the implementation of </w:t>
      </w:r>
      <w:r>
        <w:rPr>
          <w:smallCaps/>
          <w:lang w:val="en-GB"/>
        </w:rPr>
        <w:t>Common AMC</w:t>
      </w:r>
      <w:r>
        <w:rPr>
          <w:lang w:val="en-GB"/>
        </w:rPr>
        <w:t>.</w:t>
      </w:r>
    </w:p>
    <w:p w:rsidR="002A77BC" w:rsidRPr="00792119" w:rsidRDefault="009172C9">
      <w:pPr>
        <w:pStyle w:val="Titre2"/>
        <w:rPr>
          <w:lang w:val="en-US"/>
        </w:rPr>
      </w:pPr>
      <w:r>
        <w:rPr>
          <w:lang w:val="en-GB"/>
        </w:rPr>
        <w:t>"SAM (Secure Application Module)" means a security element, similar to a</w:t>
      </w:r>
      <w:r>
        <w:rPr>
          <w:lang w:val="en-GB"/>
        </w:rPr>
        <w:t xml:space="preserve">n electronic safe, into which the </w:t>
      </w:r>
      <w:r>
        <w:rPr>
          <w:smallCaps/>
          <w:lang w:val="en-GB"/>
        </w:rPr>
        <w:t>Common AMC</w:t>
      </w:r>
      <w:r>
        <w:rPr>
          <w:lang w:val="en-GB"/>
        </w:rPr>
        <w:t xml:space="preserve"> cryptographic keys are loaded in any form whatsoever.</w:t>
      </w:r>
    </w:p>
    <w:p w:rsidR="002A77BC" w:rsidRPr="00792119" w:rsidRDefault="009172C9">
      <w:pPr>
        <w:pStyle w:val="Titre2"/>
        <w:rPr>
          <w:lang w:val="en-US"/>
        </w:rPr>
      </w:pPr>
      <w:r>
        <w:rPr>
          <w:lang w:val="en-GB"/>
        </w:rPr>
        <w:t xml:space="preserve">"Acceptance System" means the hardware and software elements that enable an </w:t>
      </w:r>
      <w:r>
        <w:rPr>
          <w:smallCaps/>
          <w:lang w:val="en-GB"/>
        </w:rPr>
        <w:t>Common AMC</w:t>
      </w:r>
      <w:r>
        <w:rPr>
          <w:lang w:val="en-GB"/>
        </w:rPr>
        <w:t xml:space="preserve"> to be processed.</w:t>
      </w:r>
    </w:p>
    <w:p w:rsidR="002A77BC" w:rsidRPr="00792119" w:rsidRDefault="009172C9">
      <w:pPr>
        <w:pStyle w:val="Titre2"/>
        <w:rPr>
          <w:lang w:val="en-US"/>
        </w:rPr>
      </w:pPr>
      <w:r>
        <w:rPr>
          <w:lang w:val="en-GB"/>
        </w:rPr>
        <w:t>"</w:t>
      </w:r>
      <w:r>
        <w:rPr>
          <w:smallCaps/>
          <w:lang w:val="en-GB"/>
        </w:rPr>
        <w:t>Common AMC</w:t>
      </w:r>
      <w:r>
        <w:rPr>
          <w:lang w:val="en-GB"/>
        </w:rPr>
        <w:t xml:space="preserve"> Issuer" means the entity issuing Portable</w:t>
      </w:r>
      <w:r>
        <w:rPr>
          <w:lang w:val="en-GB"/>
        </w:rPr>
        <w:t xml:space="preserve"> Objects containing the </w:t>
      </w:r>
      <w:r>
        <w:rPr>
          <w:smallCaps/>
          <w:lang w:val="en-GB"/>
        </w:rPr>
        <w:t>Common AMC</w:t>
      </w:r>
      <w:r>
        <w:rPr>
          <w:lang w:val="en-GB"/>
        </w:rPr>
        <w:t xml:space="preserve"> Application and its interoperability keys.</w:t>
      </w:r>
    </w:p>
    <w:p w:rsidR="002A77BC" w:rsidRPr="00792119" w:rsidRDefault="009172C9">
      <w:pPr>
        <w:pStyle w:val="Titre2"/>
        <w:rPr>
          <w:lang w:val="en-US"/>
        </w:rPr>
      </w:pPr>
      <w:r>
        <w:rPr>
          <w:lang w:val="en-GB"/>
        </w:rPr>
        <w:lastRenderedPageBreak/>
        <w:t>"</w:t>
      </w:r>
      <w:r>
        <w:rPr>
          <w:smallCaps/>
          <w:lang w:val="en-GB"/>
        </w:rPr>
        <w:t>Common AMC</w:t>
      </w:r>
      <w:r>
        <w:rPr>
          <w:lang w:val="en-GB"/>
        </w:rPr>
        <w:t xml:space="preserve"> Acceptor" means the entity capable of accepting on its network Portable Objects containing the </w:t>
      </w:r>
      <w:r>
        <w:rPr>
          <w:smallCaps/>
          <w:lang w:val="en-GB"/>
        </w:rPr>
        <w:t>Common AMC</w:t>
      </w:r>
      <w:r>
        <w:rPr>
          <w:lang w:val="en-GB"/>
        </w:rPr>
        <w:t xml:space="preserve"> Application.</w:t>
      </w:r>
    </w:p>
    <w:p w:rsidR="002A77BC" w:rsidRPr="00792119" w:rsidRDefault="009172C9">
      <w:pPr>
        <w:pStyle w:val="Titre2"/>
        <w:rPr>
          <w:lang w:val="en-US"/>
        </w:rPr>
      </w:pPr>
      <w:r>
        <w:rPr>
          <w:lang w:val="en-GB"/>
        </w:rPr>
        <w:t>"</w:t>
      </w:r>
      <w:r>
        <w:rPr>
          <w:smallCaps/>
          <w:lang w:val="en-GB"/>
        </w:rPr>
        <w:t>Common AMC</w:t>
      </w:r>
      <w:r>
        <w:rPr>
          <w:lang w:val="en-GB"/>
        </w:rPr>
        <w:t xml:space="preserve"> Governance" means all the bodies, p</w:t>
      </w:r>
      <w:r>
        <w:rPr>
          <w:lang w:val="en-GB"/>
        </w:rPr>
        <w:t xml:space="preserve">rocedures and decision rules enabling ADCET members to steer the management of the </w:t>
      </w:r>
      <w:r>
        <w:rPr>
          <w:smallCaps/>
          <w:lang w:val="en-GB"/>
        </w:rPr>
        <w:t>Common AMC</w:t>
      </w:r>
      <w:r>
        <w:rPr>
          <w:lang w:val="en-GB"/>
        </w:rPr>
        <w:t xml:space="preserve"> by consulting the users, in order to ensure the proper operation, security and scalability of the application. Governance is based on the creation of a college wi</w:t>
      </w:r>
      <w:r>
        <w:rPr>
          <w:lang w:val="en-GB"/>
        </w:rPr>
        <w:t xml:space="preserve">thin ADCET, known as the "Common AMC College," to which each </w:t>
      </w:r>
      <w:r>
        <w:rPr>
          <w:smallCaps/>
          <w:lang w:val="en-GB"/>
        </w:rPr>
        <w:t>Common AMC</w:t>
      </w:r>
      <w:r>
        <w:rPr>
          <w:lang w:val="en-GB"/>
        </w:rPr>
        <w:t xml:space="preserve"> partner can belong directly or by being represented by another member. In the absence of this college, governance shall be ensured by the ADCET office.</w:t>
      </w:r>
    </w:p>
    <w:p w:rsidR="002A77BC" w:rsidRPr="00792119" w:rsidRDefault="009172C9">
      <w:pPr>
        <w:pStyle w:val="Titre2"/>
        <w:rPr>
          <w:lang w:val="en-US"/>
        </w:rPr>
      </w:pPr>
      <w:r>
        <w:rPr>
          <w:szCs w:val="24"/>
          <w:lang w:val="en-GB"/>
        </w:rPr>
        <w:t xml:space="preserve">"Confidential information" </w:t>
      </w:r>
      <w:r>
        <w:rPr>
          <w:lang w:val="en-GB"/>
        </w:rPr>
        <w:t>means</w:t>
      </w:r>
      <w:r>
        <w:rPr>
          <w:lang w:val="en-GB"/>
        </w:rPr>
        <w:t xml:space="preserve"> any information marked "confidential" or "restricted" transmitted by ADCET under this Agreement.</w:t>
      </w:r>
    </w:p>
    <w:p w:rsidR="002A77BC" w:rsidRDefault="009172C9">
      <w:pPr>
        <w:pStyle w:val="Standard"/>
        <w:widowControl w:val="0"/>
        <w:numPr>
          <w:ilvl w:val="0"/>
          <w:numId w:val="38"/>
        </w:numPr>
        <w:spacing w:before="240"/>
        <w:jc w:val="both"/>
      </w:pPr>
      <w:bookmarkStart w:id="4" w:name="_Toc349134454"/>
      <w:bookmarkStart w:id="5" w:name="_Toc349134502"/>
      <w:bookmarkStart w:id="6" w:name="_Toc488074633"/>
      <w:bookmarkEnd w:id="4"/>
      <w:bookmarkEnd w:id="5"/>
      <w:r>
        <w:rPr>
          <w:b/>
          <w:szCs w:val="24"/>
          <w:lang w:val="fr-FR"/>
        </w:rPr>
        <w:t>Subject of the Agreement</w:t>
      </w:r>
      <w:bookmarkEnd w:id="6"/>
    </w:p>
    <w:p w:rsidR="002A77BC" w:rsidRPr="00792119" w:rsidRDefault="009172C9">
      <w:pPr>
        <w:pStyle w:val="Titre2"/>
        <w:rPr>
          <w:lang w:val="en-US"/>
        </w:rPr>
      </w:pPr>
      <w:r>
        <w:rPr>
          <w:lang w:val="en-GB"/>
        </w:rPr>
        <w:t>This Agreement, known as the Common AMC Application Usage Agreement, defines the conditions of membership for a new partner. In addit</w:t>
      </w:r>
      <w:r>
        <w:rPr>
          <w:lang w:val="en-GB"/>
        </w:rPr>
        <w:t xml:space="preserve">ion to the conditions of availability of the </w:t>
      </w:r>
      <w:r>
        <w:rPr>
          <w:smallCaps/>
          <w:lang w:val="en-GB"/>
        </w:rPr>
        <w:t>Common AMC</w:t>
      </w:r>
      <w:r>
        <w:rPr>
          <w:lang w:val="en-GB"/>
        </w:rPr>
        <w:t xml:space="preserve"> components, this Agreement constitutes a charter between the system partners, whose security and durability it guarantees.</w:t>
      </w:r>
    </w:p>
    <w:p w:rsidR="002A77BC" w:rsidRPr="00792119" w:rsidRDefault="009172C9">
      <w:pPr>
        <w:pStyle w:val="Titre2"/>
        <w:rPr>
          <w:lang w:val="en-US"/>
        </w:rPr>
      </w:pPr>
      <w:r>
        <w:rPr>
          <w:lang w:val="en-GB"/>
        </w:rPr>
        <w:t xml:space="preserve">This Agreement enables the </w:t>
      </w:r>
      <w:r>
        <w:rPr>
          <w:smallCaps/>
          <w:lang w:val="en-GB"/>
        </w:rPr>
        <w:t>Common AMC</w:t>
      </w:r>
      <w:r>
        <w:rPr>
          <w:lang w:val="en-GB"/>
        </w:rPr>
        <w:t xml:space="preserve"> Keys and the </w:t>
      </w:r>
      <w:r>
        <w:rPr>
          <w:smallCaps/>
          <w:lang w:val="en-GB"/>
        </w:rPr>
        <w:t>Common AMC</w:t>
      </w:r>
      <w:r>
        <w:rPr>
          <w:lang w:val="en-GB"/>
        </w:rPr>
        <w:t xml:space="preserve"> Application to </w:t>
      </w:r>
      <w:r>
        <w:rPr>
          <w:lang w:val="en-GB"/>
        </w:rPr>
        <w:t xml:space="preserve">be made available and authorizes the implementation of </w:t>
      </w:r>
      <w:r>
        <w:rPr>
          <w:smallCaps/>
          <w:lang w:val="en-GB"/>
        </w:rPr>
        <w:t>Common AMC</w:t>
      </w:r>
      <w:r>
        <w:rPr>
          <w:lang w:val="en-GB"/>
        </w:rPr>
        <w:t xml:space="preserve"> at all levels: issuing media containing the </w:t>
      </w:r>
      <w:r>
        <w:rPr>
          <w:smallCaps/>
          <w:lang w:val="en-GB"/>
        </w:rPr>
        <w:t>Common AMC</w:t>
      </w:r>
      <w:r>
        <w:rPr>
          <w:lang w:val="en-GB"/>
        </w:rPr>
        <w:t xml:space="preserve"> Application and the </w:t>
      </w:r>
      <w:r>
        <w:rPr>
          <w:smallCaps/>
          <w:lang w:val="en-GB"/>
        </w:rPr>
        <w:t>Common AMC</w:t>
      </w:r>
      <w:r>
        <w:rPr>
          <w:lang w:val="en-GB"/>
        </w:rPr>
        <w:t xml:space="preserve"> Keys, loading the </w:t>
      </w:r>
      <w:r>
        <w:rPr>
          <w:smallCaps/>
          <w:lang w:val="en-GB"/>
        </w:rPr>
        <w:t>Common AMC</w:t>
      </w:r>
      <w:r>
        <w:rPr>
          <w:lang w:val="en-GB"/>
        </w:rPr>
        <w:t xml:space="preserve"> Keys into the security modules of the personalization or processing termina</w:t>
      </w:r>
      <w:r>
        <w:rPr>
          <w:lang w:val="en-GB"/>
        </w:rPr>
        <w:t xml:space="preserve">ls, loading and validating the media, loading data into the </w:t>
      </w:r>
      <w:r>
        <w:rPr>
          <w:smallCaps/>
          <w:lang w:val="en-GB"/>
        </w:rPr>
        <w:t>Common AMC</w:t>
      </w:r>
      <w:r>
        <w:rPr>
          <w:lang w:val="en-GB"/>
        </w:rPr>
        <w:t xml:space="preserve"> Application, validating and checking data contained in the </w:t>
      </w:r>
      <w:r>
        <w:rPr>
          <w:smallCaps/>
          <w:lang w:val="en-GB"/>
        </w:rPr>
        <w:t>Common AMC</w:t>
      </w:r>
      <w:r>
        <w:rPr>
          <w:lang w:val="en-GB"/>
        </w:rPr>
        <w:t xml:space="preserve"> Application.</w:t>
      </w:r>
    </w:p>
    <w:p w:rsidR="002A77BC" w:rsidRPr="00792119" w:rsidRDefault="009172C9">
      <w:pPr>
        <w:pStyle w:val="Titre2"/>
        <w:rPr>
          <w:lang w:val="en-US"/>
        </w:rPr>
      </w:pPr>
      <w:r>
        <w:rPr>
          <w:lang w:val="en-GB"/>
        </w:rPr>
        <w:t>By this Agreement, ADCET hereby grants the User Entity a non-exclusive, non-transferable license to us</w:t>
      </w:r>
      <w:r>
        <w:rPr>
          <w:lang w:val="en-GB"/>
        </w:rPr>
        <w:t xml:space="preserve">e the </w:t>
      </w:r>
      <w:r>
        <w:rPr>
          <w:smallCaps/>
          <w:lang w:val="en-GB"/>
        </w:rPr>
        <w:t>Common AMC</w:t>
      </w:r>
      <w:r>
        <w:rPr>
          <w:lang w:val="en-GB"/>
        </w:rPr>
        <w:t xml:space="preserve"> Application. This license includes all the rights required by the User Entity to:</w:t>
      </w:r>
      <w:bookmarkStart w:id="7" w:name="OLE_LINK1"/>
      <w:bookmarkStart w:id="8" w:name="OLE_LINK2"/>
      <w:bookmarkEnd w:id="7"/>
      <w:bookmarkEnd w:id="8"/>
    </w:p>
    <w:p w:rsidR="002A77BC" w:rsidRPr="00792119" w:rsidRDefault="009172C9">
      <w:pPr>
        <w:pStyle w:val="Titre2"/>
        <w:rPr>
          <w:lang w:val="en-US"/>
        </w:rPr>
      </w:pPr>
      <w:r>
        <w:rPr>
          <w:lang w:val="en-GB"/>
        </w:rPr>
        <w:t xml:space="preserve">(i) exploit and use the </w:t>
      </w:r>
      <w:r>
        <w:rPr>
          <w:smallCaps/>
          <w:lang w:val="en-GB"/>
        </w:rPr>
        <w:t>Common AMC</w:t>
      </w:r>
      <w:r>
        <w:rPr>
          <w:lang w:val="en-GB"/>
        </w:rPr>
        <w:t xml:space="preserve"> Application within the scope of its activities;</w:t>
      </w:r>
    </w:p>
    <w:p w:rsidR="002A77BC" w:rsidRPr="00792119" w:rsidRDefault="009172C9">
      <w:pPr>
        <w:pStyle w:val="Titre2"/>
        <w:rPr>
          <w:lang w:val="en-US"/>
        </w:rPr>
      </w:pPr>
      <w:r>
        <w:rPr>
          <w:lang w:val="en-GB"/>
        </w:rPr>
        <w:t xml:space="preserve">(ii) interface or cause the </w:t>
      </w:r>
      <w:r>
        <w:rPr>
          <w:smallCaps/>
          <w:lang w:val="en-GB"/>
        </w:rPr>
        <w:t>Common AMC</w:t>
      </w:r>
      <w:r>
        <w:rPr>
          <w:lang w:val="en-GB"/>
        </w:rPr>
        <w:t xml:space="preserve"> Application to interface with its o</w:t>
      </w:r>
      <w:r>
        <w:rPr>
          <w:lang w:val="en-GB"/>
        </w:rPr>
        <w:t>wn Acceptance System and to integrate or cause it to be integrated into the Portable Objects sold to its customers; and</w:t>
      </w:r>
    </w:p>
    <w:p w:rsidR="002A77BC" w:rsidRDefault="009172C9">
      <w:pPr>
        <w:pStyle w:val="Titre2"/>
        <w:rPr>
          <w:lang w:val="en-GB"/>
        </w:rPr>
      </w:pPr>
      <w:r>
        <w:rPr>
          <w:lang w:val="en-GB"/>
        </w:rPr>
        <w:t>(iii) allow customers its customers to use it.</w:t>
      </w:r>
    </w:p>
    <w:p w:rsidR="002A77BC" w:rsidRDefault="009172C9">
      <w:pPr>
        <w:pStyle w:val="Titre2"/>
        <w:rPr>
          <w:lang w:val="en-GB"/>
        </w:rPr>
      </w:pPr>
      <w:r>
        <w:rPr>
          <w:lang w:val="en-GB"/>
        </w:rPr>
        <w:t>The rights thus granted concern only the Common AMC Application and under no circumstance</w:t>
      </w:r>
      <w:r>
        <w:rPr>
          <w:lang w:val="en-GB"/>
        </w:rPr>
        <w:t>s do they concern the licenses of the Calypso application patents.</w:t>
      </w:r>
    </w:p>
    <w:p w:rsidR="002A77BC" w:rsidRPr="00792119" w:rsidRDefault="009172C9">
      <w:pPr>
        <w:pStyle w:val="Titre2"/>
        <w:rPr>
          <w:lang w:val="en-US"/>
        </w:rPr>
      </w:pPr>
      <w:r>
        <w:rPr>
          <w:lang w:val="en-GB"/>
        </w:rPr>
        <w:t xml:space="preserve">This Agreement defines the terms and conditions for delivering the </w:t>
      </w:r>
      <w:r>
        <w:rPr>
          <w:smallCaps/>
          <w:lang w:val="en-GB"/>
        </w:rPr>
        <w:t>Common AMC</w:t>
      </w:r>
      <w:r>
        <w:rPr>
          <w:lang w:val="en-GB"/>
        </w:rPr>
        <w:t xml:space="preserve"> Application and its cryptographic keys to the User Entity, the rules of use to be complied with and the </w:t>
      </w:r>
      <w:r>
        <w:rPr>
          <w:lang w:val="en-GB"/>
        </w:rPr>
        <w:t>measures to be taken in the event of non-compliance with these rules.</w:t>
      </w:r>
    </w:p>
    <w:p w:rsidR="002A77BC" w:rsidRPr="00792119" w:rsidRDefault="009172C9">
      <w:pPr>
        <w:pStyle w:val="Titre2"/>
        <w:rPr>
          <w:lang w:val="en-US"/>
        </w:rPr>
      </w:pPr>
      <w:r>
        <w:rPr>
          <w:lang w:val="en-GB"/>
        </w:rPr>
        <w:t xml:space="preserve">The management of incidents, the processing of </w:t>
      </w:r>
      <w:r>
        <w:rPr>
          <w:smallCaps/>
          <w:lang w:val="en-GB"/>
        </w:rPr>
        <w:t>Common AMC</w:t>
      </w:r>
      <w:r>
        <w:rPr>
          <w:lang w:val="en-GB"/>
        </w:rPr>
        <w:t xml:space="preserve"> developments and their implementation conditions are not covered by this Agreement. These points are dealt with within ADCET in </w:t>
      </w:r>
      <w:r>
        <w:rPr>
          <w:lang w:val="en-GB"/>
        </w:rPr>
        <w:t>which the User Entity that has signed this Agreement may, by right, be represented.</w:t>
      </w:r>
    </w:p>
    <w:p w:rsidR="002A77BC" w:rsidRDefault="002A77BC">
      <w:pPr>
        <w:pStyle w:val="Standard"/>
      </w:pPr>
    </w:p>
    <w:p w:rsidR="002A77BC" w:rsidRDefault="009172C9">
      <w:pPr>
        <w:pStyle w:val="Titre1"/>
      </w:pPr>
      <w:bookmarkStart w:id="9" w:name="_Toc488074634"/>
      <w:bookmarkEnd w:id="9"/>
      <w:r>
        <w:t>Financial conditions</w:t>
      </w:r>
    </w:p>
    <w:p w:rsidR="002A77BC" w:rsidRDefault="002A77BC">
      <w:pPr>
        <w:pStyle w:val="Standard"/>
        <w:rPr>
          <w:lang w:val="fr-FR"/>
        </w:rPr>
      </w:pPr>
    </w:p>
    <w:p w:rsidR="002A77BC" w:rsidRDefault="009172C9">
      <w:pPr>
        <w:pStyle w:val="Standard"/>
      </w:pPr>
      <w:r>
        <w:t>The operation of a project around Common AMC is only possible insofar as ADCET mobilizes the necessary means to support the development, security and</w:t>
      </w:r>
      <w:r>
        <w:t xml:space="preserve"> governance of Common AMC, which represents a significant burden.</w:t>
      </w:r>
    </w:p>
    <w:p w:rsidR="002A77BC" w:rsidRDefault="009172C9">
      <w:pPr>
        <w:pStyle w:val="Standard"/>
      </w:pPr>
      <w:r>
        <w:lastRenderedPageBreak/>
        <w:t xml:space="preserve">Consequently, if the use of Common AMC is reserved for public and non-commercial services, the Agreement shall be granted free of charge on condition that the User Entity is a member of </w:t>
      </w:r>
      <w:r>
        <w:t>ADCET and is up to date with its subscriptions.</w:t>
      </w:r>
    </w:p>
    <w:p w:rsidR="002A77BC" w:rsidRDefault="009172C9">
      <w:pPr>
        <w:pStyle w:val="Standard"/>
      </w:pPr>
      <w:r>
        <w:t>In cases where the use of Common AMC contributes to generating commercial income for the User Entity, a fee must be provided for in an annex to the agreement between ADCET and the User Entity.</w:t>
      </w:r>
    </w:p>
    <w:p w:rsidR="002A77BC" w:rsidRDefault="002A77BC">
      <w:pPr>
        <w:pStyle w:val="Standard"/>
        <w:jc w:val="both"/>
        <w:rPr>
          <w:szCs w:val="24"/>
        </w:rPr>
      </w:pPr>
    </w:p>
    <w:p w:rsidR="002A77BC" w:rsidRDefault="009172C9">
      <w:pPr>
        <w:pStyle w:val="Standard"/>
        <w:keepNext/>
        <w:numPr>
          <w:ilvl w:val="0"/>
          <w:numId w:val="38"/>
        </w:numPr>
        <w:jc w:val="both"/>
      </w:pPr>
      <w:bookmarkStart w:id="10" w:name="_Toc488074635"/>
      <w:r>
        <w:rPr>
          <w:b/>
          <w:szCs w:val="24"/>
          <w:lang w:val="fr-FR"/>
        </w:rPr>
        <w:t>Obligations of</w:t>
      </w:r>
      <w:r>
        <w:rPr>
          <w:b/>
          <w:szCs w:val="24"/>
          <w:lang w:val="fr-FR"/>
        </w:rPr>
        <w:t xml:space="preserve"> the User Entity</w:t>
      </w:r>
      <w:bookmarkEnd w:id="10"/>
    </w:p>
    <w:p w:rsidR="002A77BC" w:rsidRDefault="002A77BC">
      <w:pPr>
        <w:pStyle w:val="Standard"/>
        <w:rPr>
          <w:lang w:val="fr-FR"/>
        </w:rPr>
      </w:pPr>
    </w:p>
    <w:p w:rsidR="002A77BC" w:rsidRDefault="009172C9">
      <w:pPr>
        <w:pStyle w:val="Standard"/>
        <w:jc w:val="both"/>
      </w:pPr>
      <w:r w:rsidRPr="00792119">
        <w:rPr>
          <w:szCs w:val="24"/>
          <w:lang w:val="en-US"/>
        </w:rPr>
        <w:t>The User Entity undertakes to:</w:t>
      </w:r>
    </w:p>
    <w:p w:rsidR="002A77BC" w:rsidRPr="00792119" w:rsidRDefault="009172C9">
      <w:pPr>
        <w:pStyle w:val="Titre2"/>
        <w:rPr>
          <w:lang w:val="en-US"/>
        </w:rPr>
      </w:pPr>
      <w:r w:rsidRPr="00792119">
        <w:rPr>
          <w:lang w:val="en-US"/>
        </w:rPr>
        <w:t xml:space="preserve">Comply fully with the operating rules described in the </w:t>
      </w:r>
      <w:r w:rsidRPr="00792119">
        <w:rPr>
          <w:smallCaps/>
          <w:lang w:val="en-US"/>
        </w:rPr>
        <w:t>Common AMC</w:t>
      </w:r>
      <w:r w:rsidRPr="00792119">
        <w:rPr>
          <w:lang w:val="en-US"/>
        </w:rPr>
        <w:t xml:space="preserve"> Specifications, both for the issue or acceptance of </w:t>
      </w:r>
      <w:r w:rsidRPr="00792119">
        <w:rPr>
          <w:smallCaps/>
          <w:lang w:val="en-US"/>
        </w:rPr>
        <w:t>Common AMC</w:t>
      </w:r>
      <w:r w:rsidRPr="00792119">
        <w:rPr>
          <w:lang w:val="en-US"/>
        </w:rPr>
        <w:t xml:space="preserve"> Portable Objects.</w:t>
      </w:r>
    </w:p>
    <w:p w:rsidR="002A77BC" w:rsidRPr="00792119" w:rsidRDefault="009172C9">
      <w:pPr>
        <w:pStyle w:val="Titre2"/>
        <w:rPr>
          <w:lang w:val="en-US"/>
        </w:rPr>
      </w:pPr>
      <w:r w:rsidRPr="00792119">
        <w:rPr>
          <w:smallCaps/>
          <w:lang w:val="en-US"/>
        </w:rPr>
        <w:t>Only</w:t>
      </w:r>
      <w:r w:rsidRPr="00792119">
        <w:rPr>
          <w:lang w:val="en-US"/>
        </w:rPr>
        <w:t xml:space="preserve"> issue the </w:t>
      </w:r>
      <w:r w:rsidRPr="00792119">
        <w:rPr>
          <w:smallCaps/>
          <w:lang w:val="en-US"/>
        </w:rPr>
        <w:t>Common AMC</w:t>
      </w:r>
      <w:r w:rsidRPr="00792119">
        <w:rPr>
          <w:lang w:val="en-US"/>
        </w:rPr>
        <w:t xml:space="preserve"> Application in Portable Objects th</w:t>
      </w:r>
      <w:r w:rsidRPr="00792119">
        <w:rPr>
          <w:lang w:val="en-US"/>
        </w:rPr>
        <w:t>at have received a Version 3 Calypso Certificate of Conformity.</w:t>
      </w:r>
    </w:p>
    <w:p w:rsidR="002A77BC" w:rsidRPr="00792119" w:rsidRDefault="009172C9">
      <w:pPr>
        <w:pStyle w:val="Titre2"/>
        <w:rPr>
          <w:lang w:val="en-US"/>
        </w:rPr>
      </w:pPr>
      <w:r w:rsidRPr="00792119">
        <w:rPr>
          <w:lang w:val="en-US"/>
        </w:rPr>
        <w:t xml:space="preserve">Mention, on any </w:t>
      </w:r>
      <w:r w:rsidRPr="00792119">
        <w:rPr>
          <w:smallCaps/>
          <w:lang w:val="en-US"/>
        </w:rPr>
        <w:t>Common AMC</w:t>
      </w:r>
      <w:r w:rsidRPr="00792119">
        <w:rPr>
          <w:lang w:val="en-US"/>
        </w:rPr>
        <w:t xml:space="preserve"> Portable Object, by means of the logo available from ADCET, the presence of Common AMC in the Portable Object. This provision may however be adapted for NFC mobile p</w:t>
      </w:r>
      <w:r w:rsidRPr="00792119">
        <w:rPr>
          <w:lang w:val="en-US"/>
        </w:rPr>
        <w:t>hones. This provision applies only to Portable Objects whose production was launched after the date of the signing of this Agreement.</w:t>
      </w:r>
    </w:p>
    <w:p w:rsidR="002A77BC" w:rsidRPr="00792119" w:rsidRDefault="009172C9">
      <w:pPr>
        <w:pStyle w:val="Titre2"/>
        <w:rPr>
          <w:lang w:val="en-US"/>
        </w:rPr>
      </w:pPr>
      <w:r w:rsidRPr="00792119">
        <w:rPr>
          <w:lang w:val="en-US"/>
        </w:rPr>
        <w:t>Particular attention must be paid to the internal security procedures relating to the conservation of SAMs and their perma</w:t>
      </w:r>
      <w:r w:rsidRPr="00792119">
        <w:rPr>
          <w:lang w:val="en-US"/>
        </w:rPr>
        <w:t>nent inventory.</w:t>
      </w:r>
    </w:p>
    <w:p w:rsidR="002A77BC" w:rsidRPr="00792119" w:rsidRDefault="009172C9">
      <w:pPr>
        <w:pStyle w:val="Titre2"/>
        <w:rPr>
          <w:lang w:val="en-US"/>
        </w:rPr>
      </w:pPr>
      <w:r w:rsidRPr="00792119">
        <w:rPr>
          <w:iCs/>
          <w:lang w:val="en-US"/>
        </w:rPr>
        <w:t>R</w:t>
      </w:r>
      <w:r w:rsidRPr="00792119">
        <w:rPr>
          <w:lang w:val="en-US"/>
        </w:rPr>
        <w:t>eport to ADCET any loss or disappearance of an SAM.</w:t>
      </w:r>
    </w:p>
    <w:p w:rsidR="002A77BC" w:rsidRPr="00792119" w:rsidRDefault="009172C9">
      <w:pPr>
        <w:pStyle w:val="Titre2"/>
        <w:rPr>
          <w:lang w:val="en-US"/>
        </w:rPr>
      </w:pPr>
      <w:r w:rsidRPr="00792119">
        <w:rPr>
          <w:lang w:val="en-US"/>
        </w:rPr>
        <w:t xml:space="preserve">Respect best practices in terms of information system security, regarding the use of the </w:t>
      </w:r>
      <w:r w:rsidRPr="00792119">
        <w:rPr>
          <w:smallCaps/>
          <w:lang w:val="en-US"/>
        </w:rPr>
        <w:t>Common AMC</w:t>
      </w:r>
      <w:r w:rsidRPr="00792119">
        <w:rPr>
          <w:lang w:val="en-US"/>
        </w:rPr>
        <w:t xml:space="preserve"> Keys.</w:t>
      </w:r>
    </w:p>
    <w:p w:rsidR="002A77BC" w:rsidRPr="00792119" w:rsidRDefault="009172C9">
      <w:pPr>
        <w:pStyle w:val="Titre2"/>
        <w:rPr>
          <w:lang w:val="en-US"/>
        </w:rPr>
      </w:pPr>
      <w:r w:rsidRPr="00792119">
        <w:rPr>
          <w:iCs/>
          <w:lang w:val="en-US"/>
        </w:rPr>
        <w:t>Not</w:t>
      </w:r>
      <w:r w:rsidRPr="00792119">
        <w:rPr>
          <w:lang w:val="en-US"/>
        </w:rPr>
        <w:t xml:space="preserve"> transfer its right to use the </w:t>
      </w:r>
      <w:r w:rsidRPr="00792119">
        <w:rPr>
          <w:smallCaps/>
          <w:lang w:val="en-US"/>
        </w:rPr>
        <w:t>Common AMC</w:t>
      </w:r>
      <w:r w:rsidRPr="00792119">
        <w:rPr>
          <w:lang w:val="en-US"/>
        </w:rPr>
        <w:t xml:space="preserve"> Keys to others without the express a</w:t>
      </w:r>
      <w:r w:rsidRPr="00792119">
        <w:rPr>
          <w:lang w:val="en-US"/>
        </w:rPr>
        <w:t>uthorization of ADCET.</w:t>
      </w:r>
    </w:p>
    <w:p w:rsidR="002A77BC" w:rsidRPr="00792119" w:rsidRDefault="009172C9">
      <w:pPr>
        <w:pStyle w:val="Titre2"/>
        <w:rPr>
          <w:lang w:val="en-US"/>
        </w:rPr>
      </w:pPr>
      <w:r w:rsidRPr="00792119">
        <w:rPr>
          <w:iCs/>
          <w:lang w:val="en-US"/>
        </w:rPr>
        <w:t>Not use</w:t>
      </w:r>
      <w:r w:rsidRPr="00792119">
        <w:rPr>
          <w:lang w:val="en-US"/>
        </w:rPr>
        <w:t xml:space="preserve"> the </w:t>
      </w:r>
      <w:r w:rsidRPr="00792119">
        <w:rPr>
          <w:smallCaps/>
          <w:lang w:val="en-US"/>
        </w:rPr>
        <w:t>Common AMC</w:t>
      </w:r>
      <w:r w:rsidRPr="00792119">
        <w:rPr>
          <w:lang w:val="en-US"/>
        </w:rPr>
        <w:t xml:space="preserve"> Keys for any other purpose than the management of the </w:t>
      </w:r>
      <w:r w:rsidRPr="00792119">
        <w:rPr>
          <w:smallCaps/>
          <w:lang w:val="en-US"/>
        </w:rPr>
        <w:t>Common AMC</w:t>
      </w:r>
      <w:r w:rsidRPr="00792119">
        <w:rPr>
          <w:lang w:val="en-US"/>
        </w:rPr>
        <w:t xml:space="preserve"> application without the express agreement of ADCET.</w:t>
      </w:r>
    </w:p>
    <w:p w:rsidR="002A77BC" w:rsidRPr="00792119" w:rsidRDefault="009172C9">
      <w:pPr>
        <w:pStyle w:val="Titre2"/>
        <w:rPr>
          <w:lang w:val="en-US"/>
        </w:rPr>
      </w:pPr>
      <w:r w:rsidRPr="00792119">
        <w:rPr>
          <w:lang w:val="en-US"/>
        </w:rPr>
        <w:t xml:space="preserve">In the case of writing personal data in </w:t>
      </w:r>
      <w:r w:rsidRPr="00792119">
        <w:rPr>
          <w:smallCaps/>
          <w:lang w:val="en-US"/>
        </w:rPr>
        <w:t>Common AMC</w:t>
      </w:r>
      <w:r w:rsidRPr="00792119">
        <w:rPr>
          <w:lang w:val="en-US"/>
        </w:rPr>
        <w:t>, take all necessary steps to ensure the au</w:t>
      </w:r>
      <w:r w:rsidRPr="00792119">
        <w:rPr>
          <w:lang w:val="en-US"/>
        </w:rPr>
        <w:t>thenticity of the information concerned.</w:t>
      </w:r>
    </w:p>
    <w:p w:rsidR="002A77BC" w:rsidRPr="00792119" w:rsidRDefault="009172C9">
      <w:pPr>
        <w:pStyle w:val="Titre2"/>
        <w:rPr>
          <w:lang w:val="en-US"/>
        </w:rPr>
      </w:pPr>
      <w:r w:rsidRPr="00792119">
        <w:rPr>
          <w:lang w:val="en-US"/>
        </w:rPr>
        <w:t>Comply with and enforce compliance with the reading and storage mechanisms (only one per information system) of a unique identifier in accordance with the sector of activity defined by the French National Commission</w:t>
      </w:r>
      <w:r w:rsidRPr="00792119">
        <w:rPr>
          <w:lang w:val="en-US"/>
        </w:rPr>
        <w:t xml:space="preserve"> for Information Technology and Civil Liberties (CNIL) in</w:t>
      </w:r>
      <w:r w:rsidRPr="00792119">
        <w:rPr>
          <w:spacing w:val="-13"/>
          <w:lang w:val="en-US"/>
        </w:rPr>
        <w:t xml:space="preserve"> </w:t>
      </w:r>
      <w:r w:rsidRPr="00792119">
        <w:rPr>
          <w:lang w:val="en-US"/>
        </w:rPr>
        <w:t>RU-030</w:t>
      </w:r>
    </w:p>
    <w:p w:rsidR="002A77BC" w:rsidRPr="00792119" w:rsidRDefault="002A77BC">
      <w:pPr>
        <w:pStyle w:val="Standard"/>
        <w:rPr>
          <w:szCs w:val="24"/>
          <w:lang w:val="en-US"/>
        </w:rPr>
      </w:pPr>
    </w:p>
    <w:p w:rsidR="002A77BC" w:rsidRDefault="009172C9">
      <w:pPr>
        <w:pStyle w:val="Standard"/>
        <w:keepNext/>
        <w:numPr>
          <w:ilvl w:val="0"/>
          <w:numId w:val="38"/>
        </w:numPr>
        <w:jc w:val="both"/>
      </w:pPr>
      <w:bookmarkStart w:id="11" w:name="_Toc488074636"/>
      <w:r>
        <w:rPr>
          <w:b/>
          <w:szCs w:val="24"/>
          <w:lang w:val="fr-FR"/>
        </w:rPr>
        <w:t>Obligations of ADCET</w:t>
      </w:r>
      <w:bookmarkEnd w:id="11"/>
    </w:p>
    <w:p w:rsidR="002A77BC" w:rsidRDefault="002A77BC">
      <w:pPr>
        <w:pStyle w:val="Standard"/>
        <w:spacing w:before="120"/>
        <w:rPr>
          <w:szCs w:val="24"/>
          <w:lang w:val="fr-FR"/>
        </w:rPr>
      </w:pPr>
    </w:p>
    <w:p w:rsidR="002A77BC" w:rsidRDefault="009172C9">
      <w:pPr>
        <w:pStyle w:val="Standard"/>
        <w:jc w:val="both"/>
      </w:pPr>
      <w:r>
        <w:rPr>
          <w:szCs w:val="24"/>
          <w:lang w:val="fr-FR"/>
        </w:rPr>
        <w:t>ADCET undertakes to:</w:t>
      </w:r>
    </w:p>
    <w:p w:rsidR="002A77BC" w:rsidRPr="00792119" w:rsidRDefault="009172C9">
      <w:pPr>
        <w:pStyle w:val="Titre2"/>
        <w:rPr>
          <w:lang w:val="en-US"/>
        </w:rPr>
      </w:pPr>
      <w:r w:rsidRPr="00792119">
        <w:rPr>
          <w:lang w:val="en-US"/>
        </w:rPr>
        <w:t>Provide the User Entity with the necessary support for the implementation of Common AMC. This support will be provided by answering the User Entity</w:t>
      </w:r>
      <w:r w:rsidRPr="00792119">
        <w:rPr>
          <w:lang w:val="en-US"/>
        </w:rPr>
        <w:t>'s questions as soon as possible in the case of questions that are not already covered in the FAQ available on the ADCET website. This support will be provided free of charge for general questions on the implementation of the standard within the limit of 7</w:t>
      </w:r>
      <w:r w:rsidRPr="00792119">
        <w:rPr>
          <w:lang w:val="en-US"/>
        </w:rPr>
        <w:t xml:space="preserve"> hours. In addition to this, ADCET undertakes to directly or indirectly offer support services, training and certification, consulting and customization work.</w:t>
      </w:r>
      <w:bookmarkStart w:id="12" w:name="_Hlk533003084"/>
      <w:bookmarkEnd w:id="12"/>
    </w:p>
    <w:p w:rsidR="002A77BC" w:rsidRPr="00792119" w:rsidRDefault="009172C9">
      <w:pPr>
        <w:pStyle w:val="Titre2"/>
        <w:rPr>
          <w:lang w:val="en-US"/>
        </w:rPr>
      </w:pPr>
      <w:r w:rsidRPr="00792119">
        <w:rPr>
          <w:lang w:val="en-US"/>
        </w:rPr>
        <w:t xml:space="preserve">Assign to the User Entity a partner identifier, i.e. the unique </w:t>
      </w:r>
      <w:r w:rsidRPr="00792119">
        <w:rPr>
          <w:smallCaps/>
          <w:lang w:val="en-US"/>
        </w:rPr>
        <w:t>AMC</w:t>
      </w:r>
      <w:r w:rsidRPr="00792119">
        <w:rPr>
          <w:lang w:val="en-US"/>
        </w:rPr>
        <w:t xml:space="preserve"> issuer reference, if the User</w:t>
      </w:r>
      <w:r w:rsidRPr="00792119">
        <w:rPr>
          <w:lang w:val="en-US"/>
        </w:rPr>
        <w:t xml:space="preserve"> Entity does not already have one.</w:t>
      </w:r>
    </w:p>
    <w:p w:rsidR="002A77BC" w:rsidRPr="00792119" w:rsidRDefault="009172C9">
      <w:pPr>
        <w:pStyle w:val="Titre2"/>
        <w:rPr>
          <w:lang w:val="en-US"/>
        </w:rPr>
      </w:pPr>
      <w:r w:rsidRPr="00792119">
        <w:rPr>
          <w:lang w:val="en-US"/>
        </w:rPr>
        <w:lastRenderedPageBreak/>
        <w:t xml:space="preserve">Authorize the User Entity to supply SAMs containing </w:t>
      </w:r>
      <w:r w:rsidRPr="00792119">
        <w:rPr>
          <w:smallCaps/>
          <w:lang w:val="en-US"/>
        </w:rPr>
        <w:t>Common AMC</w:t>
      </w:r>
      <w:r w:rsidRPr="00792119">
        <w:rPr>
          <w:lang w:val="en-US"/>
        </w:rPr>
        <w:t xml:space="preserve"> Keys to technical operators accredited by ADCET.</w:t>
      </w:r>
    </w:p>
    <w:p w:rsidR="002A77BC" w:rsidRPr="00792119" w:rsidRDefault="009172C9">
      <w:pPr>
        <w:pStyle w:val="Titre2"/>
        <w:rPr>
          <w:lang w:val="en-US"/>
        </w:rPr>
      </w:pPr>
      <w:r w:rsidRPr="00792119">
        <w:rPr>
          <w:lang w:val="en-US"/>
        </w:rPr>
        <w:t xml:space="preserve">Authorize the User Entity to manufacture and issue Portable Objects with the </w:t>
      </w:r>
      <w:r w:rsidRPr="00792119">
        <w:rPr>
          <w:smallCaps/>
          <w:lang w:val="en-US"/>
        </w:rPr>
        <w:t>Common AMC</w:t>
      </w:r>
      <w:r w:rsidRPr="00792119">
        <w:rPr>
          <w:lang w:val="en-US"/>
        </w:rPr>
        <w:t xml:space="preserve"> Application.</w:t>
      </w:r>
    </w:p>
    <w:p w:rsidR="002A77BC" w:rsidRPr="00792119" w:rsidRDefault="009172C9">
      <w:pPr>
        <w:pStyle w:val="Titre2"/>
        <w:rPr>
          <w:lang w:val="en-US"/>
        </w:rPr>
      </w:pPr>
      <w:r w:rsidRPr="00792119">
        <w:rPr>
          <w:lang w:val="en-US"/>
        </w:rPr>
        <w:t>Allow th</w:t>
      </w:r>
      <w:r w:rsidRPr="00792119">
        <w:rPr>
          <w:lang w:val="en-US"/>
        </w:rPr>
        <w:t xml:space="preserve">e User Entity to load contracts into the </w:t>
      </w:r>
      <w:r w:rsidRPr="00792119">
        <w:rPr>
          <w:smallCaps/>
          <w:lang w:val="en-US"/>
        </w:rPr>
        <w:t>Common AMC</w:t>
      </w:r>
      <w:r w:rsidRPr="00792119">
        <w:rPr>
          <w:lang w:val="en-US"/>
        </w:rPr>
        <w:t xml:space="preserve"> Application and to accept on its equipment the contracts contained in the </w:t>
      </w:r>
      <w:r w:rsidRPr="00792119">
        <w:rPr>
          <w:smallCaps/>
          <w:lang w:val="en-US"/>
        </w:rPr>
        <w:t>Common AMC</w:t>
      </w:r>
      <w:r w:rsidRPr="00792119">
        <w:rPr>
          <w:lang w:val="en-US"/>
        </w:rPr>
        <w:t xml:space="preserve"> Application.</w:t>
      </w:r>
    </w:p>
    <w:p w:rsidR="002A77BC" w:rsidRPr="00792119" w:rsidRDefault="009172C9">
      <w:pPr>
        <w:pStyle w:val="Titre2"/>
        <w:rPr>
          <w:lang w:val="en-US"/>
        </w:rPr>
      </w:pPr>
      <w:r w:rsidRPr="00792119">
        <w:rPr>
          <w:lang w:val="en-US"/>
        </w:rPr>
        <w:t xml:space="preserve">Ensure the maintenance of the </w:t>
      </w:r>
      <w:r w:rsidRPr="00792119">
        <w:rPr>
          <w:smallCaps/>
          <w:lang w:val="en-US"/>
        </w:rPr>
        <w:t>Common AMC</w:t>
      </w:r>
      <w:r w:rsidRPr="00792119">
        <w:rPr>
          <w:lang w:val="en-US"/>
        </w:rPr>
        <w:t xml:space="preserve"> Application, in agreement with ADCET, with all the necessary resp</w:t>
      </w:r>
      <w:r w:rsidRPr="00792119">
        <w:rPr>
          <w:lang w:val="en-US"/>
        </w:rPr>
        <w:t>onsiveness in the event of an incident.</w:t>
      </w:r>
    </w:p>
    <w:p w:rsidR="002A77BC" w:rsidRPr="00792119" w:rsidRDefault="002A77BC">
      <w:pPr>
        <w:pStyle w:val="Standard"/>
        <w:jc w:val="both"/>
        <w:rPr>
          <w:szCs w:val="24"/>
          <w:lang w:val="en-US"/>
        </w:rPr>
      </w:pPr>
    </w:p>
    <w:p w:rsidR="002A77BC" w:rsidRPr="00792119" w:rsidRDefault="002A77BC">
      <w:pPr>
        <w:pStyle w:val="Standard"/>
        <w:jc w:val="both"/>
        <w:rPr>
          <w:szCs w:val="24"/>
          <w:lang w:val="en-US"/>
        </w:rPr>
      </w:pPr>
    </w:p>
    <w:p w:rsidR="002A77BC" w:rsidRDefault="009172C9">
      <w:pPr>
        <w:pStyle w:val="Standard"/>
        <w:keepNext/>
        <w:numPr>
          <w:ilvl w:val="0"/>
          <w:numId w:val="38"/>
        </w:numPr>
        <w:jc w:val="both"/>
      </w:pPr>
      <w:bookmarkStart w:id="13" w:name="_Toc488074637"/>
      <w:r>
        <w:rPr>
          <w:b/>
          <w:szCs w:val="24"/>
          <w:lang w:val="fr-FR"/>
        </w:rPr>
        <w:t>Responsibilities</w:t>
      </w:r>
      <w:bookmarkEnd w:id="13"/>
    </w:p>
    <w:p w:rsidR="002A77BC" w:rsidRPr="00792119" w:rsidRDefault="009172C9">
      <w:pPr>
        <w:pStyle w:val="Titre2"/>
        <w:rPr>
          <w:lang w:val="en-US"/>
        </w:rPr>
      </w:pPr>
      <w:r w:rsidRPr="00792119">
        <w:rPr>
          <w:lang w:val="en-US"/>
        </w:rPr>
        <w:t xml:space="preserve">The responsibility for the transfer of documents and the </w:t>
      </w:r>
      <w:r w:rsidRPr="00792119">
        <w:rPr>
          <w:smallCaps/>
          <w:lang w:val="en-US"/>
        </w:rPr>
        <w:t>Common AMC</w:t>
      </w:r>
      <w:r w:rsidRPr="00792119">
        <w:rPr>
          <w:lang w:val="en-US"/>
        </w:rPr>
        <w:t xml:space="preserve"> Keys to the companies that the User Entity has designated for the manufacture of the security elements and/or Portable Objects, </w:t>
      </w:r>
      <w:r w:rsidRPr="00792119">
        <w:rPr>
          <w:lang w:val="en-US"/>
        </w:rPr>
        <w:t>regardless of the type chosen, shall be ensured by ADCET, which can designate a subcontractor to carry out the transfer tasks, but shall remain responsible with regard to the recipient.</w:t>
      </w:r>
    </w:p>
    <w:p w:rsidR="002A77BC" w:rsidRPr="00792119" w:rsidRDefault="009172C9">
      <w:pPr>
        <w:pStyle w:val="Titre2"/>
        <w:rPr>
          <w:lang w:val="en-US"/>
        </w:rPr>
      </w:pPr>
      <w:r w:rsidRPr="00792119">
        <w:rPr>
          <w:lang w:val="en-US"/>
        </w:rPr>
        <w:t xml:space="preserve">The User Entity shall be responsible for the implementation of the </w:t>
      </w:r>
      <w:r w:rsidRPr="00792119">
        <w:rPr>
          <w:smallCaps/>
          <w:lang w:val="en-US"/>
        </w:rPr>
        <w:t>Com</w:t>
      </w:r>
      <w:r w:rsidRPr="00792119">
        <w:rPr>
          <w:smallCaps/>
          <w:lang w:val="en-US"/>
        </w:rPr>
        <w:t>mon AMC</w:t>
      </w:r>
      <w:r w:rsidRPr="00792119">
        <w:rPr>
          <w:lang w:val="en-US"/>
        </w:rPr>
        <w:t>, and must obtain an approval issued by ADCET upon presentation of a technical audit carried out by a body qualified by ADCET.</w:t>
      </w:r>
    </w:p>
    <w:p w:rsidR="002A77BC" w:rsidRPr="00792119" w:rsidRDefault="009172C9">
      <w:pPr>
        <w:pStyle w:val="Titre2"/>
        <w:rPr>
          <w:lang w:val="en-US"/>
        </w:rPr>
      </w:pPr>
      <w:r w:rsidRPr="00792119">
        <w:rPr>
          <w:lang w:val="en-US"/>
        </w:rPr>
        <w:t>The User Entity shall be responsible for the quality of the loading and the deletion of a contract, and shall issue this c</w:t>
      </w:r>
      <w:r w:rsidRPr="00792119">
        <w:rPr>
          <w:lang w:val="en-US"/>
        </w:rPr>
        <w:t xml:space="preserve">ontract loaded under the </w:t>
      </w:r>
      <w:r w:rsidRPr="00792119">
        <w:rPr>
          <w:smallCaps/>
          <w:lang w:val="en-US"/>
        </w:rPr>
        <w:t>Common AMC</w:t>
      </w:r>
      <w:r w:rsidRPr="00792119">
        <w:rPr>
          <w:lang w:val="en-US"/>
        </w:rPr>
        <w:t xml:space="preserve"> Interoperability Application.</w:t>
      </w:r>
    </w:p>
    <w:p w:rsidR="002A77BC" w:rsidRPr="00792119" w:rsidRDefault="009172C9">
      <w:pPr>
        <w:pStyle w:val="Titre2"/>
        <w:rPr>
          <w:lang w:val="en-US"/>
        </w:rPr>
      </w:pPr>
      <w:r w:rsidRPr="00792119">
        <w:rPr>
          <w:lang w:val="en-US"/>
        </w:rPr>
        <w:t xml:space="preserve">The list and the nature of the contracts that a User Entity wishes to issue under the </w:t>
      </w:r>
      <w:r w:rsidRPr="00792119">
        <w:rPr>
          <w:smallCaps/>
          <w:lang w:val="en-US"/>
        </w:rPr>
        <w:t>Common AMC</w:t>
      </w:r>
      <w:r w:rsidRPr="00792119">
        <w:rPr>
          <w:lang w:val="en-US"/>
        </w:rPr>
        <w:t xml:space="preserve"> Interoperability Application fall within the User Entity’s sole and unique competence and are</w:t>
      </w:r>
      <w:r w:rsidRPr="00792119">
        <w:rPr>
          <w:lang w:val="en-US"/>
        </w:rPr>
        <w:t xml:space="preserve"> outside the scope of this Agreement.</w:t>
      </w:r>
    </w:p>
    <w:p w:rsidR="002A77BC" w:rsidRPr="00792119" w:rsidRDefault="009172C9">
      <w:pPr>
        <w:pStyle w:val="Titre2"/>
        <w:rPr>
          <w:lang w:val="en-US"/>
        </w:rPr>
      </w:pPr>
      <w:r w:rsidRPr="00792119">
        <w:rPr>
          <w:lang w:val="en-US"/>
        </w:rPr>
        <w:t xml:space="preserve">ADCET can in no way be held responsible for any direct or indirect consequences or for any damage that could result from the implementation or use of the </w:t>
      </w:r>
      <w:r w:rsidRPr="00792119">
        <w:rPr>
          <w:smallCaps/>
          <w:lang w:val="en-US"/>
        </w:rPr>
        <w:t>Common AMC</w:t>
      </w:r>
      <w:r w:rsidRPr="00792119">
        <w:rPr>
          <w:lang w:val="en-US"/>
        </w:rPr>
        <w:t xml:space="preserve"> Interoperability Application.</w:t>
      </w:r>
    </w:p>
    <w:p w:rsidR="002A77BC" w:rsidRPr="00792119" w:rsidRDefault="009172C9">
      <w:pPr>
        <w:pStyle w:val="Titre2"/>
        <w:rPr>
          <w:lang w:val="en-US"/>
        </w:rPr>
      </w:pPr>
      <w:r w:rsidRPr="00792119">
        <w:rPr>
          <w:lang w:val="en-US"/>
        </w:rPr>
        <w:t>The User Entity underta</w:t>
      </w:r>
      <w:r w:rsidRPr="00792119">
        <w:rPr>
          <w:lang w:val="en-US"/>
        </w:rPr>
        <w:t>kes to obtain the necessary insurance to cover the risks (in particular theft, natural events or any acts of vandalism) linked to the use of the equipment.</w:t>
      </w:r>
    </w:p>
    <w:p w:rsidR="002A77BC" w:rsidRPr="00792119" w:rsidRDefault="009172C9">
      <w:pPr>
        <w:pStyle w:val="Titre2"/>
        <w:rPr>
          <w:lang w:val="en-US"/>
        </w:rPr>
      </w:pPr>
      <w:r w:rsidRPr="00792119">
        <w:rPr>
          <w:lang w:val="en-US"/>
        </w:rPr>
        <w:t xml:space="preserve">The User Entity shall assume full responsibility for the equipment as soon as it is handed over and </w:t>
      </w:r>
      <w:r w:rsidRPr="00792119">
        <w:rPr>
          <w:lang w:val="en-US"/>
        </w:rPr>
        <w:t xml:space="preserve">until it is returned. The User Entity is the sole entity responsible for any damage caused to the equipment or because of the equipment, regardless of the cause or the nature of the damage. </w:t>
      </w:r>
      <w:r w:rsidRPr="00792119">
        <w:rPr>
          <w:szCs w:val="24"/>
          <w:lang w:val="en-US"/>
        </w:rPr>
        <w:t>The User Entity shall replace or repair any missing or damaged equ</w:t>
      </w:r>
      <w:r w:rsidRPr="00792119">
        <w:rPr>
          <w:szCs w:val="24"/>
          <w:lang w:val="en-US"/>
        </w:rPr>
        <w:t>ipment at its own expense. The User Entity shall take the necessary steps to have the damage covered by its insurance company.</w:t>
      </w:r>
    </w:p>
    <w:p w:rsidR="002A77BC" w:rsidRPr="00792119" w:rsidRDefault="009172C9">
      <w:pPr>
        <w:pStyle w:val="Titre2"/>
        <w:rPr>
          <w:lang w:val="en-US"/>
        </w:rPr>
      </w:pPr>
      <w:r w:rsidRPr="00792119">
        <w:rPr>
          <w:lang w:val="en-US"/>
        </w:rPr>
        <w:t>The User Entity undertakes to use the equipment in accordance with the user manual and to comply with the safety rules.</w:t>
      </w:r>
    </w:p>
    <w:p w:rsidR="002A77BC" w:rsidRPr="00792119" w:rsidRDefault="002A77BC">
      <w:pPr>
        <w:pStyle w:val="Standard"/>
        <w:widowControl w:val="0"/>
        <w:jc w:val="both"/>
        <w:rPr>
          <w:szCs w:val="24"/>
          <w:lang w:val="en-US"/>
        </w:rPr>
      </w:pPr>
    </w:p>
    <w:p w:rsidR="002A77BC" w:rsidRDefault="009172C9">
      <w:pPr>
        <w:pStyle w:val="Standard"/>
        <w:keepNext/>
        <w:widowControl w:val="0"/>
        <w:numPr>
          <w:ilvl w:val="0"/>
          <w:numId w:val="38"/>
        </w:numPr>
        <w:jc w:val="both"/>
      </w:pPr>
      <w:bookmarkStart w:id="14" w:name="_Toc488074638"/>
      <w:r>
        <w:rPr>
          <w:b/>
          <w:szCs w:val="24"/>
          <w:lang w:val="fr-FR"/>
        </w:rPr>
        <w:t>Confiden</w:t>
      </w:r>
      <w:r>
        <w:rPr>
          <w:b/>
          <w:szCs w:val="24"/>
          <w:lang w:val="fr-FR"/>
        </w:rPr>
        <w:t>tiality</w:t>
      </w:r>
      <w:bookmarkEnd w:id="14"/>
    </w:p>
    <w:p w:rsidR="002A77BC" w:rsidRPr="00792119" w:rsidRDefault="009172C9">
      <w:pPr>
        <w:pStyle w:val="Titre2"/>
        <w:rPr>
          <w:lang w:val="en-US"/>
        </w:rPr>
      </w:pPr>
      <w:r w:rsidRPr="00792119">
        <w:rPr>
          <w:lang w:val="en-US"/>
        </w:rPr>
        <w:t xml:space="preserve">The User Entity undertakes to keep strictly confidential all sensitive information and/or information designated as confidential, transmitted by ADCET in relation to </w:t>
      </w:r>
      <w:r w:rsidRPr="00792119">
        <w:rPr>
          <w:smallCaps/>
          <w:lang w:val="en-US"/>
        </w:rPr>
        <w:t>Common AMC</w:t>
      </w:r>
      <w:r w:rsidRPr="00792119">
        <w:rPr>
          <w:lang w:val="en-US"/>
        </w:rPr>
        <w:t>, and in particular, to keep strictly confidential the technical specifi</w:t>
      </w:r>
      <w:r w:rsidRPr="00792119">
        <w:rPr>
          <w:lang w:val="en-US"/>
        </w:rPr>
        <w:t>cations and security elements.</w:t>
      </w:r>
    </w:p>
    <w:p w:rsidR="002A77BC" w:rsidRPr="00792119" w:rsidRDefault="009172C9">
      <w:pPr>
        <w:pStyle w:val="Titre2"/>
        <w:rPr>
          <w:lang w:val="en-US"/>
        </w:rPr>
      </w:pPr>
      <w:r w:rsidRPr="00792119">
        <w:rPr>
          <w:lang w:val="en-US"/>
        </w:rPr>
        <w:t xml:space="preserve">The User Entity undertakes not to publish this information under any circumstances and not to communicate this information to any third party without the prior written consent </w:t>
      </w:r>
      <w:r w:rsidRPr="00792119">
        <w:rPr>
          <w:lang w:val="en-US"/>
        </w:rPr>
        <w:lastRenderedPageBreak/>
        <w:t>of ADCET.</w:t>
      </w:r>
    </w:p>
    <w:p w:rsidR="002A77BC" w:rsidRPr="00792119" w:rsidRDefault="009172C9">
      <w:pPr>
        <w:pStyle w:val="Titre2"/>
        <w:rPr>
          <w:lang w:val="en-US"/>
        </w:rPr>
      </w:pPr>
      <w:r w:rsidRPr="00792119">
        <w:rPr>
          <w:lang w:val="en-US"/>
        </w:rPr>
        <w:t>The obligations stipulated above for th</w:t>
      </w:r>
      <w:r w:rsidRPr="00792119">
        <w:rPr>
          <w:lang w:val="en-US"/>
        </w:rPr>
        <w:t>e User Entity shall remain in force, even beyond the date of termination of this contract, for as long as the data or information concerned is not freely accessible to the public.</w:t>
      </w:r>
    </w:p>
    <w:p w:rsidR="002A77BC" w:rsidRPr="00792119" w:rsidRDefault="009172C9">
      <w:pPr>
        <w:pStyle w:val="Titre2"/>
        <w:rPr>
          <w:lang w:val="en-US"/>
        </w:rPr>
      </w:pPr>
      <w:r w:rsidRPr="00792119">
        <w:rPr>
          <w:lang w:val="en-US"/>
        </w:rPr>
        <w:t>It is however understood that these obligations will not be applicable to da</w:t>
      </w:r>
      <w:r w:rsidRPr="00792119">
        <w:rPr>
          <w:lang w:val="en-US"/>
        </w:rPr>
        <w:t>ta or information:</w:t>
      </w:r>
      <w:r w:rsidRPr="00792119">
        <w:rPr>
          <w:lang w:val="en-US"/>
        </w:rPr>
        <w:br/>
      </w:r>
      <w:r w:rsidRPr="00792119">
        <w:rPr>
          <w:lang w:val="en-US"/>
        </w:rPr>
        <w:t>- which are in the public domain at the time of their communication by ADCET;</w:t>
      </w:r>
      <w:r w:rsidRPr="00792119">
        <w:rPr>
          <w:lang w:val="en-US"/>
        </w:rPr>
        <w:br/>
      </w:r>
      <w:r w:rsidRPr="00792119">
        <w:rPr>
          <w:lang w:val="en-US"/>
        </w:rPr>
        <w:t>- or which will subsequently fall into the public domain other than by the fact of the receiving Entity or members of its staff who will have received the said</w:t>
      </w:r>
      <w:r w:rsidRPr="00792119">
        <w:rPr>
          <w:lang w:val="en-US"/>
        </w:rPr>
        <w:t xml:space="preserve"> information;</w:t>
      </w:r>
      <w:r w:rsidRPr="00792119">
        <w:rPr>
          <w:lang w:val="en-US"/>
        </w:rPr>
        <w:br/>
      </w:r>
      <w:r w:rsidRPr="00792119">
        <w:rPr>
          <w:lang w:val="en-US"/>
        </w:rPr>
        <w:t>- or that the User Entity will be able to prove either that it previously possessed this data or information, or that they were lawfully communicated to it without obligation of secrecy or the limitation of use by a third party lawfully holdi</w:t>
      </w:r>
      <w:r w:rsidRPr="00792119">
        <w:rPr>
          <w:lang w:val="en-US"/>
        </w:rPr>
        <w:t>ng them without the obligation of secrecy or the limitation of use.</w:t>
      </w:r>
    </w:p>
    <w:p w:rsidR="002A77BC" w:rsidRPr="00792119" w:rsidRDefault="002A77BC">
      <w:pPr>
        <w:pStyle w:val="Standard"/>
        <w:keepNext/>
        <w:spacing w:before="120"/>
        <w:rPr>
          <w:szCs w:val="24"/>
          <w:lang w:val="en-US"/>
        </w:rPr>
      </w:pPr>
    </w:p>
    <w:p w:rsidR="002A77BC" w:rsidRDefault="009172C9">
      <w:pPr>
        <w:pStyle w:val="Standard"/>
        <w:keepNext/>
        <w:numPr>
          <w:ilvl w:val="0"/>
          <w:numId w:val="38"/>
        </w:numPr>
        <w:jc w:val="both"/>
      </w:pPr>
      <w:bookmarkStart w:id="15" w:name="_Toc488074639"/>
      <w:r>
        <w:rPr>
          <w:b/>
          <w:szCs w:val="24"/>
          <w:lang w:val="fr-FR"/>
        </w:rPr>
        <w:t>Ownership</w:t>
      </w:r>
      <w:bookmarkEnd w:id="15"/>
    </w:p>
    <w:p w:rsidR="002A77BC" w:rsidRPr="00792119" w:rsidRDefault="009172C9">
      <w:pPr>
        <w:pStyle w:val="Titre2"/>
        <w:rPr>
          <w:lang w:val="en-US"/>
        </w:rPr>
      </w:pPr>
      <w:r w:rsidRPr="00792119">
        <w:rPr>
          <w:iCs/>
          <w:lang w:val="en-US"/>
        </w:rPr>
        <w:t>ADCET</w:t>
      </w:r>
      <w:r w:rsidRPr="00792119">
        <w:rPr>
          <w:lang w:val="en-US"/>
        </w:rPr>
        <w:t xml:space="preserve"> owns the </w:t>
      </w:r>
      <w:r w:rsidRPr="00792119">
        <w:rPr>
          <w:smallCaps/>
          <w:lang w:val="en-US"/>
        </w:rPr>
        <w:t>Common AMC</w:t>
      </w:r>
      <w:r w:rsidRPr="00792119">
        <w:rPr>
          <w:lang w:val="en-US"/>
        </w:rPr>
        <w:t xml:space="preserve"> cryptographic keys, which it has specified, created and managed by the subcontractor of its choice.</w:t>
      </w:r>
    </w:p>
    <w:p w:rsidR="002A77BC" w:rsidRPr="00792119" w:rsidRDefault="009172C9">
      <w:pPr>
        <w:pStyle w:val="Titre2"/>
        <w:rPr>
          <w:lang w:val="en-US"/>
        </w:rPr>
      </w:pPr>
      <w:r w:rsidRPr="00792119">
        <w:rPr>
          <w:lang w:val="en-US"/>
        </w:rPr>
        <w:t>This Agreement does not give the User Entity any ri</w:t>
      </w:r>
      <w:r w:rsidRPr="00792119">
        <w:rPr>
          <w:lang w:val="en-US"/>
        </w:rPr>
        <w:t xml:space="preserve">ght of ownership whatsoever of the </w:t>
      </w:r>
      <w:r w:rsidRPr="00792119">
        <w:rPr>
          <w:smallCaps/>
          <w:lang w:val="en-US"/>
        </w:rPr>
        <w:t>Common AMC</w:t>
      </w:r>
      <w:r w:rsidRPr="00792119">
        <w:rPr>
          <w:lang w:val="en-US"/>
        </w:rPr>
        <w:t xml:space="preserve"> Application or its cryptographic keys.</w:t>
      </w:r>
    </w:p>
    <w:p w:rsidR="002A77BC" w:rsidRPr="00792119" w:rsidRDefault="009172C9">
      <w:pPr>
        <w:pStyle w:val="Titre2"/>
        <w:rPr>
          <w:lang w:val="en-US"/>
        </w:rPr>
      </w:pPr>
      <w:r w:rsidRPr="00792119">
        <w:rPr>
          <w:lang w:val="en-US"/>
        </w:rPr>
        <w:t>This Agreement does not involve the assignment or license of any patent, trademark, logo, design or other industrial property rights belonging to one of the Parties to the</w:t>
      </w:r>
      <w:r w:rsidRPr="00792119">
        <w:rPr>
          <w:lang w:val="en-US"/>
        </w:rPr>
        <w:t xml:space="preserve"> benefit of any of the Parties.</w:t>
      </w:r>
    </w:p>
    <w:p w:rsidR="002A77BC" w:rsidRPr="00792119" w:rsidRDefault="002A77BC">
      <w:pPr>
        <w:pStyle w:val="Standard"/>
        <w:jc w:val="both"/>
        <w:rPr>
          <w:szCs w:val="24"/>
          <w:lang w:val="en-US"/>
        </w:rPr>
      </w:pPr>
    </w:p>
    <w:p w:rsidR="002A77BC" w:rsidRPr="00792119" w:rsidRDefault="002A77BC">
      <w:pPr>
        <w:pStyle w:val="Standard"/>
        <w:jc w:val="both"/>
        <w:rPr>
          <w:szCs w:val="24"/>
          <w:lang w:val="en-US"/>
        </w:rPr>
      </w:pPr>
    </w:p>
    <w:p w:rsidR="002A77BC" w:rsidRDefault="009172C9">
      <w:pPr>
        <w:pStyle w:val="Standard"/>
        <w:keepNext/>
        <w:numPr>
          <w:ilvl w:val="0"/>
          <w:numId w:val="38"/>
        </w:numPr>
        <w:jc w:val="both"/>
      </w:pPr>
      <w:bookmarkStart w:id="16" w:name="_Toc473952119"/>
      <w:bookmarkStart w:id="17" w:name="_Toc488074640"/>
      <w:r>
        <w:rPr>
          <w:b/>
          <w:szCs w:val="24"/>
          <w:lang w:val="fr-FR"/>
        </w:rPr>
        <w:t>Entry into force, duration, termination</w:t>
      </w:r>
      <w:bookmarkEnd w:id="16"/>
      <w:bookmarkEnd w:id="17"/>
    </w:p>
    <w:p w:rsidR="002A77BC" w:rsidRPr="00792119" w:rsidRDefault="009172C9">
      <w:pPr>
        <w:pStyle w:val="Titre2"/>
        <w:rPr>
          <w:lang w:val="en-US"/>
        </w:rPr>
      </w:pPr>
      <w:r w:rsidRPr="00792119">
        <w:rPr>
          <w:lang w:val="en-US"/>
        </w:rPr>
        <w:t>The effective date of this contract is the date indicated below.</w:t>
      </w:r>
    </w:p>
    <w:p w:rsidR="002A77BC" w:rsidRPr="00792119" w:rsidRDefault="009172C9">
      <w:pPr>
        <w:pStyle w:val="Titre2"/>
        <w:rPr>
          <w:lang w:val="en-US"/>
        </w:rPr>
      </w:pPr>
      <w:r w:rsidRPr="00792119">
        <w:rPr>
          <w:lang w:val="en-US"/>
        </w:rPr>
        <w:t xml:space="preserve">Except in the event of early termination, this Agreement shall be valid for a period of five years, and shall be </w:t>
      </w:r>
      <w:r w:rsidRPr="00792119">
        <w:rPr>
          <w:lang w:val="en-US"/>
        </w:rPr>
        <w:t>tacitly renewable.</w:t>
      </w:r>
    </w:p>
    <w:p w:rsidR="002A77BC" w:rsidRPr="00792119" w:rsidRDefault="009172C9">
      <w:pPr>
        <w:pStyle w:val="Titre2"/>
        <w:rPr>
          <w:lang w:val="en-US"/>
        </w:rPr>
      </w:pPr>
      <w:r w:rsidRPr="00792119">
        <w:rPr>
          <w:lang w:val="en-US"/>
        </w:rPr>
        <w:t xml:space="preserve">The User Entity wishing to stop using </w:t>
      </w:r>
      <w:r w:rsidRPr="00792119">
        <w:rPr>
          <w:smallCaps/>
          <w:lang w:val="en-US"/>
        </w:rPr>
        <w:t>Common AMC</w:t>
      </w:r>
      <w:r w:rsidRPr="00792119">
        <w:rPr>
          <w:lang w:val="en-US"/>
        </w:rPr>
        <w:t xml:space="preserve"> must notify ADCET by registered letter with a notice period of one year.</w:t>
      </w:r>
    </w:p>
    <w:p w:rsidR="002A77BC" w:rsidRPr="00792119" w:rsidRDefault="009172C9">
      <w:pPr>
        <w:pStyle w:val="Titre2"/>
        <w:rPr>
          <w:lang w:val="en-US"/>
        </w:rPr>
      </w:pPr>
      <w:bookmarkStart w:id="18" w:name="_Toc473952120"/>
      <w:r w:rsidRPr="00792119">
        <w:rPr>
          <w:lang w:val="en-US"/>
        </w:rPr>
        <w:t xml:space="preserve">This Agreement may be terminated at any time by ADCET by registered letter if the User Entity fails to comply with </w:t>
      </w:r>
      <w:r w:rsidRPr="00792119">
        <w:rPr>
          <w:lang w:val="en-US"/>
        </w:rPr>
        <w:t>one of its contractual obligations and does not remedy this failure within three months of the formal notice that ADCET shall give it in regard to this matter.</w:t>
      </w:r>
    </w:p>
    <w:p w:rsidR="002A77BC" w:rsidRPr="00792119" w:rsidRDefault="009172C9">
      <w:pPr>
        <w:pStyle w:val="Titre2"/>
        <w:rPr>
          <w:lang w:val="en-US"/>
        </w:rPr>
      </w:pPr>
      <w:r w:rsidRPr="00792119">
        <w:rPr>
          <w:lang w:val="en-US"/>
        </w:rPr>
        <w:t>This Agreement may be terminated at any time by the User Entity by registered letter if ADCET fa</w:t>
      </w:r>
      <w:r w:rsidRPr="00792119">
        <w:rPr>
          <w:lang w:val="en-US"/>
        </w:rPr>
        <w:t>ils to fulfill one of its contractual obligations and does not remedy this failure within three months of the formal notice that the User Entity shall give it in regard to this matter</w:t>
      </w:r>
    </w:p>
    <w:p w:rsidR="002A77BC" w:rsidRPr="00792119" w:rsidRDefault="009172C9">
      <w:pPr>
        <w:pStyle w:val="Titre2"/>
        <w:rPr>
          <w:lang w:val="en-US"/>
        </w:rPr>
      </w:pPr>
      <w:r w:rsidRPr="00792119">
        <w:rPr>
          <w:lang w:val="en-US"/>
        </w:rPr>
        <w:t>In case of termination of this contract, at the end of the above-mention</w:t>
      </w:r>
      <w:r w:rsidRPr="00792119">
        <w:rPr>
          <w:lang w:val="en-US"/>
        </w:rPr>
        <w:t xml:space="preserve">ed notice periods, the User Entity will have a period of three months to : </w:t>
      </w:r>
      <w:r w:rsidRPr="00792119">
        <w:rPr>
          <w:lang w:val="en-US"/>
        </w:rPr>
        <w:br/>
      </w:r>
      <w:r w:rsidRPr="00792119">
        <w:rPr>
          <w:lang w:val="en-US"/>
        </w:rPr>
        <w:t xml:space="preserve">- cease processing </w:t>
      </w:r>
      <w:r w:rsidRPr="00792119">
        <w:rPr>
          <w:smallCaps/>
          <w:szCs w:val="24"/>
          <w:lang w:val="en-US"/>
        </w:rPr>
        <w:t>Common AMC</w:t>
      </w:r>
      <w:r w:rsidRPr="00792119">
        <w:rPr>
          <w:lang w:val="en-US"/>
        </w:rPr>
        <w:t xml:space="preserve"> in its equipment,</w:t>
      </w:r>
      <w:r w:rsidRPr="00792119">
        <w:rPr>
          <w:lang w:val="en-US"/>
        </w:rPr>
        <w:br/>
      </w:r>
      <w:r w:rsidRPr="00792119">
        <w:rPr>
          <w:lang w:val="en-US"/>
        </w:rPr>
        <w:t xml:space="preserve">- cease issuing Portable Objects including the </w:t>
      </w:r>
      <w:r w:rsidRPr="00792119">
        <w:rPr>
          <w:smallCaps/>
          <w:lang w:val="en-US"/>
        </w:rPr>
        <w:t>Common AMC</w:t>
      </w:r>
      <w:r w:rsidRPr="00792119">
        <w:rPr>
          <w:smallCaps/>
          <w:lang w:val="en-US"/>
        </w:rPr>
        <w:br/>
      </w:r>
      <w:r w:rsidRPr="00792119">
        <w:rPr>
          <w:smallCaps/>
          <w:lang w:val="en-US"/>
        </w:rPr>
        <w:t xml:space="preserve"> Application,- </w:t>
      </w:r>
      <w:r w:rsidRPr="00792119">
        <w:rPr>
          <w:lang w:val="en-US"/>
        </w:rPr>
        <w:t xml:space="preserve">return to ADCET the SAMs containing the </w:t>
      </w:r>
      <w:r w:rsidRPr="00792119">
        <w:rPr>
          <w:smallCaps/>
          <w:lang w:val="en-US"/>
        </w:rPr>
        <w:t>Common AMC</w:t>
      </w:r>
      <w:r w:rsidRPr="00792119">
        <w:rPr>
          <w:lang w:val="en-US"/>
        </w:rPr>
        <w:t xml:space="preserve"> keys, or</w:t>
      </w:r>
      <w:r w:rsidRPr="00792119">
        <w:rPr>
          <w:lang w:val="en-US"/>
        </w:rPr>
        <w:t xml:space="preserve"> prove that it has destroyed them. ADCET shall reserve the right to audit the destruction of the keys.</w:t>
      </w:r>
    </w:p>
    <w:p w:rsidR="002A77BC" w:rsidRPr="00792119" w:rsidRDefault="002A77BC">
      <w:pPr>
        <w:pStyle w:val="Standard"/>
        <w:rPr>
          <w:lang w:val="en-US"/>
        </w:rPr>
      </w:pPr>
    </w:p>
    <w:p w:rsidR="002A77BC" w:rsidRPr="00792119" w:rsidRDefault="002A77BC">
      <w:pPr>
        <w:pStyle w:val="Standard"/>
        <w:rPr>
          <w:lang w:val="en-US"/>
        </w:rPr>
      </w:pPr>
    </w:p>
    <w:p w:rsidR="002A77BC" w:rsidRDefault="009172C9">
      <w:pPr>
        <w:pStyle w:val="Titre1"/>
      </w:pPr>
      <w:bookmarkStart w:id="19" w:name="_Toc488074641"/>
      <w:r>
        <w:lastRenderedPageBreak/>
        <w:t xml:space="preserve">Entire </w:t>
      </w:r>
      <w:bookmarkEnd w:id="18"/>
      <w:r>
        <w:t>Agreement</w:t>
      </w:r>
      <w:bookmarkEnd w:id="19"/>
    </w:p>
    <w:p w:rsidR="002A77BC" w:rsidRDefault="002A77BC">
      <w:pPr>
        <w:pStyle w:val="Standard"/>
        <w:keepNext/>
        <w:jc w:val="both"/>
        <w:outlineLvl w:val="0"/>
        <w:rPr>
          <w:b/>
          <w:szCs w:val="24"/>
          <w:lang w:val="fr-FR"/>
        </w:rPr>
      </w:pPr>
    </w:p>
    <w:p w:rsidR="002A77BC" w:rsidRPr="00792119" w:rsidRDefault="009172C9">
      <w:pPr>
        <w:pStyle w:val="Titre2"/>
        <w:rPr>
          <w:lang w:val="en-US"/>
        </w:rPr>
      </w:pPr>
      <w:r w:rsidRPr="00792119">
        <w:rPr>
          <w:lang w:val="en-US"/>
        </w:rPr>
        <w:t xml:space="preserve">This Agreement constitutes the entire body of provisions which are binding on the Parties with regard to its subject matter. As from </w:t>
      </w:r>
      <w:r w:rsidRPr="00792119">
        <w:rPr>
          <w:lang w:val="en-US"/>
        </w:rPr>
        <w:t>its effective date indicated below, this Agreement supersedes all previous provisions considered by or decided upon between the Parties with respect to this subject matter and all exchanges of correspondence or declarations previously made in connection wi</w:t>
      </w:r>
      <w:r w:rsidRPr="00792119">
        <w:rPr>
          <w:lang w:val="en-US"/>
        </w:rPr>
        <w:t>th it.</w:t>
      </w:r>
    </w:p>
    <w:p w:rsidR="002A77BC" w:rsidRPr="00792119" w:rsidRDefault="009172C9">
      <w:pPr>
        <w:pStyle w:val="Titre2"/>
        <w:rPr>
          <w:lang w:val="en-US"/>
        </w:rPr>
      </w:pPr>
      <w:r w:rsidRPr="00792119">
        <w:rPr>
          <w:lang w:val="en-US"/>
        </w:rPr>
        <w:t>Any modifications and/or additions which the Parties may agree to make to this Agreement shall be made in writing, by means of amendments duly signed by duly accredited representatives of either Party.</w:t>
      </w:r>
    </w:p>
    <w:p w:rsidR="002A77BC" w:rsidRPr="00792119" w:rsidRDefault="002A77BC">
      <w:pPr>
        <w:pStyle w:val="Standard"/>
        <w:rPr>
          <w:lang w:val="en-US"/>
        </w:rPr>
      </w:pPr>
    </w:p>
    <w:p w:rsidR="002A77BC" w:rsidRDefault="009172C9">
      <w:pPr>
        <w:pStyle w:val="Titre1"/>
      </w:pPr>
      <w:bookmarkStart w:id="20" w:name="_Toc488074642"/>
      <w:r>
        <w:t>Intuitu Personae</w:t>
      </w:r>
      <w:bookmarkEnd w:id="20"/>
    </w:p>
    <w:p w:rsidR="002A77BC" w:rsidRDefault="002A77BC">
      <w:pPr>
        <w:pStyle w:val="Standard"/>
        <w:rPr>
          <w:b/>
          <w:lang w:val="fr-FR"/>
        </w:rPr>
      </w:pPr>
    </w:p>
    <w:p w:rsidR="002A77BC" w:rsidRDefault="009172C9">
      <w:pPr>
        <w:pStyle w:val="Standard"/>
      </w:pPr>
      <w:r w:rsidRPr="00792119">
        <w:rPr>
          <w:lang w:val="en-US"/>
        </w:rPr>
        <w:t>It is expressly recalled tha</w:t>
      </w:r>
      <w:r w:rsidRPr="00792119">
        <w:rPr>
          <w:lang w:val="en-US"/>
        </w:rPr>
        <w:t>t this Agreement is strictly reserved to serve the sole purpose of the User Entity; that the rights and benefits under this Agreement can in no case be granted to any third party, without the prior written consent of ADCET.</w:t>
      </w:r>
    </w:p>
    <w:p w:rsidR="002A77BC" w:rsidRPr="00792119" w:rsidRDefault="002A77BC">
      <w:pPr>
        <w:pStyle w:val="Standard"/>
        <w:rPr>
          <w:lang w:val="en-US"/>
        </w:rPr>
      </w:pPr>
    </w:p>
    <w:p w:rsidR="002A77BC" w:rsidRDefault="009172C9">
      <w:pPr>
        <w:pStyle w:val="Titre1"/>
      </w:pPr>
      <w:bookmarkStart w:id="21" w:name="_Toc488074643"/>
      <w:r>
        <w:t>Severability of clauses</w:t>
      </w:r>
      <w:bookmarkEnd w:id="21"/>
    </w:p>
    <w:p w:rsidR="002A77BC" w:rsidRDefault="002A77BC">
      <w:pPr>
        <w:pStyle w:val="Standard"/>
        <w:rPr>
          <w:b/>
          <w:lang w:val="fr-FR"/>
        </w:rPr>
      </w:pPr>
    </w:p>
    <w:p w:rsidR="002A77BC" w:rsidRDefault="009172C9">
      <w:pPr>
        <w:pStyle w:val="Standard"/>
      </w:pPr>
      <w:r w:rsidRPr="00792119">
        <w:rPr>
          <w:lang w:val="en-US"/>
        </w:rPr>
        <w:t>The nu</w:t>
      </w:r>
      <w:r w:rsidRPr="00792119">
        <w:rPr>
          <w:lang w:val="en-US"/>
        </w:rPr>
        <w:t>llity, lapse, lack of binding force or unenforceability of any of the stipulations of this contract shall not imply the nullity, lapse, lack of binding force or unenforceability of the other stipulations, which shall retain all their effects.</w:t>
      </w:r>
    </w:p>
    <w:p w:rsidR="002A77BC" w:rsidRPr="00792119" w:rsidRDefault="002A77BC">
      <w:pPr>
        <w:pStyle w:val="Standard"/>
        <w:rPr>
          <w:lang w:val="en-US"/>
        </w:rPr>
      </w:pPr>
    </w:p>
    <w:p w:rsidR="002A77BC" w:rsidRDefault="009172C9">
      <w:pPr>
        <w:pStyle w:val="Standard"/>
      </w:pPr>
      <w:r w:rsidRPr="00792119">
        <w:rPr>
          <w:lang w:val="en-US"/>
        </w:rPr>
        <w:t>However, the</w:t>
      </w:r>
      <w:r w:rsidRPr="00792119">
        <w:rPr>
          <w:lang w:val="en-US"/>
        </w:rPr>
        <w:t xml:space="preserve"> Parties may, by mutual agreement, agree to replace the invalid stipulation(s).</w:t>
      </w:r>
    </w:p>
    <w:p w:rsidR="002A77BC" w:rsidRPr="00792119" w:rsidRDefault="002A77BC">
      <w:pPr>
        <w:pStyle w:val="Standard"/>
        <w:rPr>
          <w:b/>
          <w:lang w:val="en-US"/>
        </w:rPr>
      </w:pPr>
    </w:p>
    <w:p w:rsidR="002A77BC" w:rsidRDefault="009172C9">
      <w:pPr>
        <w:pStyle w:val="Titre1"/>
      </w:pPr>
      <w:bookmarkStart w:id="22" w:name="_Toc488074644"/>
      <w:r>
        <w:t>Disputes</w:t>
      </w:r>
      <w:bookmarkEnd w:id="22"/>
    </w:p>
    <w:p w:rsidR="002A77BC" w:rsidRDefault="002A77BC">
      <w:pPr>
        <w:pStyle w:val="Standard"/>
        <w:rPr>
          <w:b/>
          <w:lang w:val="fr-FR"/>
        </w:rPr>
      </w:pPr>
    </w:p>
    <w:p w:rsidR="002A77BC" w:rsidRDefault="009172C9">
      <w:pPr>
        <w:pStyle w:val="Standard"/>
      </w:pPr>
      <w:r w:rsidRPr="00792119">
        <w:rPr>
          <w:lang w:val="en-US"/>
        </w:rPr>
        <w:t>In order to find a joint solution to any dispute that may arise in the performance of this contract, the contracting Parties agree to meet within 15 days from receip</w:t>
      </w:r>
      <w:r w:rsidRPr="00792119">
        <w:rPr>
          <w:lang w:val="en-US"/>
        </w:rPr>
        <w:t>t of a registered letter with acknowledgement of receipt, notified by one of the two Parties, or a digitally signed electronic message.</w:t>
      </w:r>
    </w:p>
    <w:p w:rsidR="002A77BC" w:rsidRDefault="009172C9">
      <w:pPr>
        <w:pStyle w:val="Standard"/>
      </w:pPr>
      <w:r w:rsidRPr="00792119">
        <w:rPr>
          <w:lang w:val="en-US"/>
        </w:rPr>
        <w:t xml:space="preserve">If, after a further 15 days, the Parties are unable to agree on a compromise or solution, the dispute shall be referred </w:t>
      </w:r>
      <w:r w:rsidRPr="00792119">
        <w:rPr>
          <w:lang w:val="en-US"/>
        </w:rPr>
        <w:t>to a mediator, under the following conditions.</w:t>
      </w:r>
    </w:p>
    <w:p w:rsidR="002A77BC" w:rsidRPr="00792119" w:rsidRDefault="002A77BC">
      <w:pPr>
        <w:pStyle w:val="Standard"/>
        <w:rPr>
          <w:lang w:val="en-US"/>
        </w:rPr>
      </w:pPr>
    </w:p>
    <w:p w:rsidR="002A77BC" w:rsidRDefault="009172C9">
      <w:pPr>
        <w:pStyle w:val="Standard"/>
      </w:pPr>
      <w:r w:rsidRPr="00792119">
        <w:rPr>
          <w:b/>
          <w:lang w:val="en-US"/>
        </w:rPr>
        <w:t>Mediation</w:t>
      </w:r>
    </w:p>
    <w:p w:rsidR="002A77BC" w:rsidRPr="00792119" w:rsidRDefault="002A77BC">
      <w:pPr>
        <w:pStyle w:val="Standard"/>
        <w:rPr>
          <w:lang w:val="en-US"/>
        </w:rPr>
      </w:pPr>
    </w:p>
    <w:p w:rsidR="002A77BC" w:rsidRDefault="009172C9">
      <w:pPr>
        <w:pStyle w:val="Standard"/>
      </w:pPr>
      <w:r w:rsidRPr="00792119">
        <w:rPr>
          <w:lang w:val="en-US"/>
        </w:rPr>
        <w:t>For all disputes or differences of interpretation relating to the performance or termination of this contract, the Parties agree to appoint a mediator by mutual agreement.</w:t>
      </w:r>
    </w:p>
    <w:p w:rsidR="002A77BC" w:rsidRPr="00792119" w:rsidRDefault="002A77BC">
      <w:pPr>
        <w:pStyle w:val="Standard"/>
        <w:rPr>
          <w:lang w:val="en-US"/>
        </w:rPr>
      </w:pPr>
    </w:p>
    <w:p w:rsidR="002A77BC" w:rsidRDefault="009172C9">
      <w:pPr>
        <w:pStyle w:val="Standard"/>
      </w:pPr>
      <w:r w:rsidRPr="00792119">
        <w:rPr>
          <w:b/>
          <w:lang w:val="en-US"/>
        </w:rPr>
        <w:t>Jurisdiction</w:t>
      </w:r>
    </w:p>
    <w:p w:rsidR="002A77BC" w:rsidRPr="00792119" w:rsidRDefault="002A77BC">
      <w:pPr>
        <w:pStyle w:val="Standard"/>
        <w:rPr>
          <w:lang w:val="en-US"/>
        </w:rPr>
      </w:pPr>
    </w:p>
    <w:p w:rsidR="002A77BC" w:rsidRDefault="009172C9">
      <w:pPr>
        <w:pStyle w:val="Standard"/>
      </w:pPr>
      <w:r w:rsidRPr="00792119">
        <w:rPr>
          <w:lang w:val="en-US"/>
        </w:rPr>
        <w:t xml:space="preserve">If </w:t>
      </w:r>
      <w:r w:rsidRPr="00792119">
        <w:rPr>
          <w:lang w:val="en-US"/>
        </w:rPr>
        <w:t>mediation fails, the Parties shall resume their full freedom and the dispute shall be submitted to the ordinary courts. In this case, the dispute shall be brought before the Court of Romans.</w:t>
      </w:r>
    </w:p>
    <w:p w:rsidR="002A77BC" w:rsidRPr="00792119" w:rsidRDefault="002A77BC">
      <w:pPr>
        <w:pStyle w:val="Standard"/>
        <w:rPr>
          <w:lang w:val="en-US"/>
        </w:rPr>
      </w:pPr>
    </w:p>
    <w:p w:rsidR="002A77BC" w:rsidRDefault="009172C9">
      <w:pPr>
        <w:pStyle w:val="Standard"/>
      </w:pPr>
      <w:r w:rsidRPr="00792119">
        <w:rPr>
          <w:b/>
          <w:lang w:val="en-US"/>
        </w:rPr>
        <w:t>Section 13 - Election of domicile</w:t>
      </w:r>
    </w:p>
    <w:p w:rsidR="002A77BC" w:rsidRPr="00792119" w:rsidRDefault="002A77BC">
      <w:pPr>
        <w:pStyle w:val="Standard"/>
        <w:rPr>
          <w:b/>
          <w:lang w:val="en-US"/>
        </w:rPr>
      </w:pPr>
    </w:p>
    <w:p w:rsidR="002A77BC" w:rsidRDefault="009172C9">
      <w:pPr>
        <w:pStyle w:val="Standard"/>
      </w:pPr>
      <w:r w:rsidRPr="00792119">
        <w:rPr>
          <w:lang w:val="en-US"/>
        </w:rPr>
        <w:t>For the performance of this A</w:t>
      </w:r>
      <w:r w:rsidRPr="00792119">
        <w:rPr>
          <w:lang w:val="en-US"/>
        </w:rPr>
        <w:t>greement and its consequences, the Parties elect domicile at their respective registered offices, which are indicated at the beginning of this Agreement.</w:t>
      </w:r>
    </w:p>
    <w:p w:rsidR="002A77BC" w:rsidRPr="00792119" w:rsidRDefault="002A77BC">
      <w:pPr>
        <w:pStyle w:val="Standard"/>
        <w:rPr>
          <w:lang w:val="en-US"/>
        </w:rPr>
      </w:pPr>
    </w:p>
    <w:p w:rsidR="002A77BC" w:rsidRDefault="009172C9">
      <w:pPr>
        <w:pStyle w:val="Standard"/>
      </w:pPr>
      <w:r w:rsidRPr="00792119">
        <w:rPr>
          <w:lang w:val="en-US"/>
        </w:rPr>
        <w:lastRenderedPageBreak/>
        <w:t>Any change in the registered office or address of one of the Parties shall only be enforceable agains</w:t>
      </w:r>
      <w:r w:rsidRPr="00792119">
        <w:rPr>
          <w:lang w:val="en-US"/>
        </w:rPr>
        <w:t>t the other Party eight days after it has been duly notified by registered letter with acknowledgement of receipt or by digitally signed electronic message.</w:t>
      </w:r>
    </w:p>
    <w:p w:rsidR="002A77BC" w:rsidRPr="00792119" w:rsidRDefault="002A77BC">
      <w:pPr>
        <w:pStyle w:val="Standard"/>
        <w:jc w:val="both"/>
        <w:rPr>
          <w:szCs w:val="24"/>
          <w:lang w:val="en-US"/>
        </w:rPr>
      </w:pPr>
    </w:p>
    <w:p w:rsidR="002A77BC" w:rsidRPr="00792119" w:rsidRDefault="002A77BC">
      <w:pPr>
        <w:pStyle w:val="Standard"/>
        <w:jc w:val="both"/>
        <w:rPr>
          <w:szCs w:val="24"/>
          <w:lang w:val="en-US"/>
        </w:rPr>
      </w:pPr>
    </w:p>
    <w:p w:rsidR="002A77BC" w:rsidRDefault="009172C9">
      <w:pPr>
        <w:pStyle w:val="Standard"/>
        <w:jc w:val="both"/>
      </w:pPr>
      <w:r w:rsidRPr="00792119">
        <w:rPr>
          <w:szCs w:val="24"/>
          <w:lang w:val="en-US"/>
        </w:rPr>
        <w:t>Drawn up and signed in two original copies, with an effective date of: ________________</w:t>
      </w:r>
    </w:p>
    <w:p w:rsidR="002A77BC" w:rsidRPr="00792119" w:rsidRDefault="002A77BC">
      <w:pPr>
        <w:pStyle w:val="Standard"/>
        <w:jc w:val="both"/>
        <w:rPr>
          <w:szCs w:val="24"/>
          <w:lang w:val="en-US"/>
        </w:rPr>
      </w:pPr>
    </w:p>
    <w:p w:rsidR="002A77BC" w:rsidRDefault="009172C9">
      <w:pPr>
        <w:pStyle w:val="Standard"/>
        <w:jc w:val="both"/>
      </w:pPr>
      <w:r w:rsidRPr="00792119">
        <w:rPr>
          <w:szCs w:val="24"/>
          <w:lang w:val="en-US"/>
        </w:rPr>
        <w:t>For ADCE</w:t>
      </w:r>
      <w:r w:rsidRPr="00792119">
        <w:rPr>
          <w:szCs w:val="24"/>
          <w:lang w:val="en-US"/>
        </w:rPr>
        <w:t>T,</w:t>
      </w:r>
    </w:p>
    <w:p w:rsidR="002A77BC" w:rsidRPr="00792119" w:rsidRDefault="002A77BC">
      <w:pPr>
        <w:pStyle w:val="Standard"/>
        <w:jc w:val="both"/>
        <w:rPr>
          <w:szCs w:val="24"/>
          <w:lang w:val="en-US"/>
        </w:rPr>
      </w:pPr>
    </w:p>
    <w:p w:rsidR="002A77BC" w:rsidRDefault="009172C9">
      <w:pPr>
        <w:pStyle w:val="Standard"/>
        <w:jc w:val="both"/>
      </w:pPr>
      <w:r w:rsidRPr="00792119">
        <w:rPr>
          <w:szCs w:val="24"/>
          <w:lang w:val="en-US"/>
        </w:rPr>
        <w:t>Date of signing</w:t>
      </w:r>
    </w:p>
    <w:p w:rsidR="002A77BC" w:rsidRPr="00792119" w:rsidRDefault="002A77BC">
      <w:pPr>
        <w:pStyle w:val="Standard"/>
        <w:jc w:val="both"/>
        <w:rPr>
          <w:szCs w:val="24"/>
          <w:lang w:val="en-US"/>
        </w:rPr>
      </w:pPr>
    </w:p>
    <w:p w:rsidR="002A77BC" w:rsidRPr="00792119" w:rsidRDefault="002A77BC">
      <w:pPr>
        <w:pStyle w:val="Standard"/>
        <w:jc w:val="both"/>
        <w:rPr>
          <w:szCs w:val="24"/>
          <w:lang w:val="en-US"/>
        </w:rPr>
      </w:pPr>
    </w:p>
    <w:p w:rsidR="002A77BC" w:rsidRPr="00792119" w:rsidRDefault="002A77BC">
      <w:pPr>
        <w:pStyle w:val="Standard"/>
        <w:jc w:val="both"/>
        <w:rPr>
          <w:szCs w:val="24"/>
          <w:lang w:val="en-US"/>
        </w:rPr>
      </w:pPr>
    </w:p>
    <w:p w:rsidR="002A77BC" w:rsidRDefault="009172C9">
      <w:pPr>
        <w:pStyle w:val="Standard"/>
        <w:jc w:val="both"/>
      </w:pPr>
      <w:r w:rsidRPr="00792119">
        <w:rPr>
          <w:szCs w:val="24"/>
          <w:lang w:val="en-US"/>
        </w:rPr>
        <w:t>Philippe Rousselet</w:t>
      </w:r>
    </w:p>
    <w:p w:rsidR="002A77BC" w:rsidRDefault="009172C9">
      <w:pPr>
        <w:pStyle w:val="Standard"/>
        <w:jc w:val="both"/>
      </w:pPr>
      <w:r w:rsidRPr="00792119">
        <w:rPr>
          <w:i/>
          <w:szCs w:val="24"/>
          <w:lang w:val="en-US"/>
        </w:rPr>
        <w:t>Secretary General</w:t>
      </w:r>
    </w:p>
    <w:p w:rsidR="002A77BC" w:rsidRPr="00792119" w:rsidRDefault="002A77BC">
      <w:pPr>
        <w:pStyle w:val="Standard"/>
        <w:jc w:val="both"/>
        <w:rPr>
          <w:szCs w:val="24"/>
          <w:lang w:val="en-US"/>
        </w:rPr>
      </w:pPr>
    </w:p>
    <w:p w:rsidR="002A77BC" w:rsidRPr="00792119" w:rsidRDefault="002A77BC">
      <w:pPr>
        <w:pStyle w:val="Standard"/>
        <w:jc w:val="both"/>
        <w:rPr>
          <w:szCs w:val="24"/>
          <w:lang w:val="en-US"/>
        </w:rPr>
      </w:pPr>
    </w:p>
    <w:p w:rsidR="002A77BC" w:rsidRDefault="009172C9">
      <w:pPr>
        <w:pStyle w:val="Standard"/>
        <w:jc w:val="both"/>
      </w:pPr>
      <w:r w:rsidRPr="00792119">
        <w:rPr>
          <w:szCs w:val="24"/>
          <w:lang w:val="en-US"/>
        </w:rPr>
        <w:t xml:space="preserve">For </w:t>
      </w:r>
      <w:r w:rsidRPr="00792119">
        <w:rPr>
          <w:i/>
          <w:szCs w:val="24"/>
          <w:lang w:val="en-US"/>
        </w:rPr>
        <w:t>the User Entity</w:t>
      </w:r>
    </w:p>
    <w:p w:rsidR="002A77BC" w:rsidRPr="00792119" w:rsidRDefault="002A77BC">
      <w:pPr>
        <w:pStyle w:val="Standard"/>
        <w:jc w:val="both"/>
        <w:rPr>
          <w:szCs w:val="24"/>
          <w:lang w:val="en-US"/>
        </w:rPr>
      </w:pPr>
    </w:p>
    <w:p w:rsidR="002A77BC" w:rsidRDefault="009172C9">
      <w:pPr>
        <w:pStyle w:val="Standard"/>
        <w:jc w:val="both"/>
      </w:pPr>
      <w:r w:rsidRPr="00792119">
        <w:rPr>
          <w:szCs w:val="24"/>
          <w:lang w:val="en-US"/>
        </w:rPr>
        <w:t>Date of signing</w:t>
      </w:r>
    </w:p>
    <w:p w:rsidR="002A77BC" w:rsidRPr="00792119" w:rsidRDefault="002A77BC">
      <w:pPr>
        <w:pStyle w:val="Standard"/>
        <w:jc w:val="both"/>
        <w:rPr>
          <w:szCs w:val="24"/>
          <w:lang w:val="en-US"/>
        </w:rPr>
      </w:pPr>
    </w:p>
    <w:p w:rsidR="002A77BC" w:rsidRPr="00792119" w:rsidRDefault="002A77BC">
      <w:pPr>
        <w:pStyle w:val="Standard"/>
        <w:ind w:left="360"/>
        <w:jc w:val="both"/>
        <w:rPr>
          <w:szCs w:val="24"/>
          <w:lang w:val="en-US"/>
        </w:rPr>
      </w:pPr>
    </w:p>
    <w:p w:rsidR="002A77BC" w:rsidRDefault="009172C9">
      <w:pPr>
        <w:pStyle w:val="Standard"/>
        <w:jc w:val="both"/>
      </w:pPr>
      <w:r w:rsidRPr="00792119">
        <w:rPr>
          <w:szCs w:val="24"/>
          <w:lang w:val="en-US"/>
        </w:rPr>
        <w:t>Name of representative</w:t>
      </w:r>
    </w:p>
    <w:p w:rsidR="002A77BC" w:rsidRDefault="009172C9">
      <w:pPr>
        <w:pStyle w:val="Standard"/>
      </w:pPr>
      <w:r>
        <w:rPr>
          <w:noProof/>
          <w:lang w:val="fr-FR" w:bidi="he-IL"/>
        </w:rPr>
        <mc:AlternateContent>
          <mc:Choice Requires="wps">
            <w:drawing>
              <wp:anchor distT="0" distB="0" distL="114300" distR="114300" simplePos="0" relativeHeight="10" behindDoc="0" locked="0" layoutInCell="1" allowOverlap="1">
                <wp:simplePos x="0" y="0"/>
                <wp:positionH relativeFrom="column">
                  <wp:posOffset>927018</wp:posOffset>
                </wp:positionH>
                <wp:positionV relativeFrom="paragraph">
                  <wp:posOffset>8090976</wp:posOffset>
                </wp:positionV>
                <wp:extent cx="4800600" cy="0"/>
                <wp:effectExtent l="0" t="0" r="19050" b="19050"/>
                <wp:wrapNone/>
                <wp:docPr id="4" name="Line 18"/>
                <wp:cNvGraphicFramePr/>
                <a:graphic xmlns:a="http://schemas.openxmlformats.org/drawingml/2006/main">
                  <a:graphicData uri="http://schemas.microsoft.com/office/word/2010/wordprocessingShape">
                    <wps:wsp>
                      <wps:cNvCnPr/>
                      <wps:spPr>
                        <a:xfrm>
                          <a:off x="0" y="0"/>
                          <a:ext cx="4800600" cy="0"/>
                        </a:xfrm>
                        <a:prstGeom prst="straightConnector1">
                          <a:avLst/>
                        </a:prstGeom>
                        <a:noFill/>
                        <a:ln w="9326" cap="flat">
                          <a:solidFill>
                            <a:srgbClr val="000000"/>
                          </a:solidFill>
                          <a:prstDash val="solid"/>
                          <a:round/>
                        </a:ln>
                      </wps:spPr>
                      <wps:bodyPr/>
                    </wps:wsp>
                  </a:graphicData>
                </a:graphic>
              </wp:anchor>
            </w:drawing>
          </mc:Choice>
          <mc:Fallback>
            <w:pict>
              <v:shapetype w14:anchorId="50373C1D" id="_x0000_t32" coordsize="21600,21600" o:spt="32" o:oned="t" path="m,l21600,21600e" filled="f">
                <v:path arrowok="t" fillok="f" o:connecttype="none"/>
                <o:lock v:ext="edit" shapetype="t"/>
              </v:shapetype>
              <v:shape id="Line 18" o:spid="_x0000_s1026" type="#_x0000_t32" style="position:absolute;margin-left:73pt;margin-top:637.1pt;width:378pt;height:0;z-index:1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" strokeweight=".25906mm"/>
            </w:pict>
          </mc:Fallback>
        </mc:AlternateContent>
      </w:r>
      <w:r>
        <w:rPr>
          <w:i/>
          <w:szCs w:val="24"/>
          <w:lang w:val="fr-FR"/>
        </w:rPr>
        <w:t>Capacity</w:t>
      </w:r>
    </w:p>
    <w:sectPr w:rsidR="002A77BC">
      <w:headerReference w:type="default" r:id="rId60"/>
      <w:footerReference w:type="default" r:id="rId61"/>
      <w:headerReference w:type="first" r:id="rId62"/>
      <w:footerReference w:type="first" r:id="rId63"/>
      <w:pgSz w:w="11906" w:h="16838"/>
      <w:pgMar w:top="1134" w:right="1134" w:bottom="1134" w:left="1134" w:header="283"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2C9" w:rsidRDefault="009172C9">
      <w:r>
        <w:separator/>
      </w:r>
    </w:p>
  </w:endnote>
  <w:endnote w:type="continuationSeparator" w:id="0">
    <w:p w:rsidR="009172C9" w:rsidRDefault="0091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font>
  <w:font w:name="WenQuanYi Micro Hei">
    <w:charset w:val="00"/>
    <w:family w:val="auto"/>
    <w:pitch w:val="variable"/>
  </w:font>
  <w:font w:name="Noto Sans Devanaga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00"/>
    <w:family w:val="modern"/>
    <w:pitch w:val="fixed"/>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C86" w:rsidRDefault="009172C9">
    <w:pPr>
      <w:pStyle w:val="Pieddepage"/>
      <w:tabs>
        <w:tab w:val="clear" w:pos="4536"/>
        <w:tab w:val="clear" w:pos="9072"/>
        <w:tab w:val="right" w:pos="9498"/>
      </w:tabs>
      <w:rPr>
        <w:rFonts w:ascii="Arial" w:hAnsi="Arial"/>
        <w:b/>
        <w:color w:val="808080"/>
        <w:sz w:val="22"/>
      </w:rPr>
    </w:pPr>
  </w:p>
  <w:p w:rsidR="004A3C86" w:rsidRPr="00792119" w:rsidRDefault="009172C9">
    <w:pPr>
      <w:pStyle w:val="Pieddepage"/>
      <w:tabs>
        <w:tab w:val="clear" w:pos="4536"/>
        <w:tab w:val="clear" w:pos="9072"/>
        <w:tab w:val="right" w:pos="9498"/>
      </w:tabs>
      <w:rPr>
        <w:lang w:val="fr-FR"/>
      </w:rPr>
    </w:pPr>
    <w:r>
      <w:rPr>
        <w:rFonts w:ascii="Arial" w:hAnsi="Arial"/>
        <w:b/>
        <w:color w:val="808080"/>
        <w:sz w:val="22"/>
        <w:lang w:val="fr-FR"/>
      </w:rPr>
      <w:t xml:space="preserve">ADCET </w:t>
    </w:r>
    <w:r>
      <w:rPr>
        <w:rFonts w:ascii="Arial" w:hAnsi="Arial"/>
        <w:color w:val="808080"/>
        <w:lang w:val="fr-FR"/>
      </w:rPr>
      <w:t xml:space="preserve">Page </w:t>
    </w:r>
    <w:r>
      <w:rPr>
        <w:rFonts w:ascii="Arial" w:hAnsi="Arial"/>
        <w:color w:val="808080"/>
      </w:rPr>
      <w:fldChar w:fldCharType="begin"/>
    </w:r>
    <w:r w:rsidRPr="00792119">
      <w:rPr>
        <w:rFonts w:ascii="Arial" w:hAnsi="Arial"/>
        <w:color w:val="808080"/>
        <w:lang w:val="fr-FR"/>
      </w:rPr>
      <w:instrText xml:space="preserve"> PAGE </w:instrText>
    </w:r>
    <w:r>
      <w:rPr>
        <w:rFonts w:ascii="Arial" w:hAnsi="Arial"/>
        <w:color w:val="808080"/>
      </w:rPr>
      <w:fldChar w:fldCharType="separate"/>
    </w:r>
    <w:r w:rsidR="00792119">
      <w:rPr>
        <w:rFonts w:ascii="Arial" w:hAnsi="Arial"/>
        <w:noProof/>
        <w:color w:val="808080"/>
        <w:lang w:val="fr-FR"/>
      </w:rPr>
      <w:t>2</w:t>
    </w:r>
    <w:r>
      <w:rPr>
        <w:rFonts w:ascii="Arial" w:hAnsi="Arial"/>
        <w:color w:val="808080"/>
      </w:rPr>
      <w:fldChar w:fldCharType="end"/>
    </w:r>
    <w:r>
      <w:rPr>
        <w:rFonts w:ascii="Arial" w:hAnsi="Arial"/>
        <w:color w:val="808080"/>
        <w:lang w:val="fr-FR"/>
      </w:rPr>
      <w:t xml:space="preserve"> of </w:t>
    </w:r>
    <w:r>
      <w:rPr>
        <w:rFonts w:ascii="Arial" w:hAnsi="Arial"/>
        <w:color w:val="808080"/>
      </w:rPr>
      <w:fldChar w:fldCharType="begin"/>
    </w:r>
    <w:r w:rsidRPr="00792119">
      <w:rPr>
        <w:rFonts w:ascii="Arial" w:hAnsi="Arial"/>
        <w:color w:val="808080"/>
        <w:lang w:val="fr-FR"/>
      </w:rPr>
      <w:instrText xml:space="preserve"> NUMPAGES </w:instrText>
    </w:r>
    <w:r>
      <w:rPr>
        <w:rFonts w:ascii="Arial" w:hAnsi="Arial"/>
        <w:color w:val="808080"/>
      </w:rPr>
      <w:fldChar w:fldCharType="separate"/>
    </w:r>
    <w:r w:rsidR="00792119">
      <w:rPr>
        <w:rFonts w:ascii="Arial" w:hAnsi="Arial"/>
        <w:noProof/>
        <w:color w:val="808080"/>
        <w:lang w:val="fr-FR"/>
      </w:rPr>
      <w:t>9</w:t>
    </w:r>
    <w:r>
      <w:rPr>
        <w:rFonts w:ascii="Arial" w:hAnsi="Arial"/>
        <w:color w:val="808080"/>
      </w:rPr>
      <w:fldChar w:fldCharType="end"/>
    </w:r>
  </w:p>
  <w:p w:rsidR="004A3C86" w:rsidRPr="00792119" w:rsidRDefault="009172C9">
    <w:pPr>
      <w:pStyle w:val="Pieddepage"/>
      <w:tabs>
        <w:tab w:val="clear" w:pos="4536"/>
        <w:tab w:val="clear" w:pos="9072"/>
        <w:tab w:val="right" w:pos="9498"/>
      </w:tabs>
      <w:spacing w:before="60"/>
      <w:rPr>
        <w:lang w:val="fr-FR"/>
      </w:rPr>
    </w:pPr>
    <w:r>
      <w:rPr>
        <w:rFonts w:ascii="Arial" w:hAnsi="Arial"/>
        <w:color w:val="808080"/>
        <w:lang w:val="fr-FR"/>
      </w:rPr>
      <w:t xml:space="preserve">80 Rue du Château 26740 Montboucher-sur-Jabron, France </w:t>
    </w:r>
    <w:r>
      <w:rPr>
        <w:rFonts w:ascii="Arial" w:hAnsi="Arial"/>
        <w:b/>
        <w:color w:val="808080"/>
        <w:lang w:val="fr-FR"/>
      </w:rPr>
      <w:t>www.adcet.org</w:t>
    </w:r>
  </w:p>
  <w:p w:rsidR="004A3C86" w:rsidRDefault="009172C9">
    <w:pPr>
      <w:pStyle w:val="Pieddepage"/>
      <w:tabs>
        <w:tab w:val="clear" w:pos="4536"/>
        <w:tab w:val="left" w:pos="1134"/>
        <w:tab w:val="left" w:pos="3402"/>
        <w:tab w:val="left" w:pos="6521"/>
      </w:tabs>
    </w:pPr>
    <w:r>
      <w:rPr>
        <w:rFonts w:ascii="Arial" w:hAnsi="Arial"/>
        <w:color w:val="808080"/>
        <w:lang w:val="fr-FR"/>
      </w:rPr>
      <w:t xml:space="preserve">Email: </w:t>
    </w:r>
    <w:hyperlink r:id="rId1" w:history="1">
      <w:r>
        <w:rPr>
          <w:lang w:val="fr-FR"/>
        </w:rPr>
        <w:t>prousselet@adcet.org</w:t>
      </w:r>
    </w:hyperlink>
    <w:r>
      <w:rPr>
        <w:lang w:val="fr-FR"/>
      </w:rPr>
      <w:t xml:space="preserve"> </w:t>
    </w:r>
    <w:r>
      <w:rPr>
        <w:rFonts w:ascii="Arial" w:hAnsi="Arial"/>
        <w:color w:val="808080"/>
        <w:lang w:val="fr-FR"/>
      </w:rPr>
      <w:t>Secretariat Tel: + 33 6 71 74 85 1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C86" w:rsidRDefault="009172C9">
    <w:pPr>
      <w:pStyle w:val="Pieddepage"/>
      <w:tabs>
        <w:tab w:val="clear" w:pos="4536"/>
        <w:tab w:val="clear" w:pos="9072"/>
        <w:tab w:val="left" w:pos="2420"/>
      </w:tabs>
    </w:pPr>
    <w:r>
      <w:rPr>
        <w:lang w:val="fr-FR"/>
      </w:rPr>
      <w:t xml:space="preserve">Reference </w:t>
    </w:r>
    <w:r>
      <w:rPr>
        <w:lang w:val="fr-FR"/>
      </w:rPr>
      <w:fldChar w:fldCharType="begin"/>
    </w:r>
    <w:r>
      <w:rPr>
        <w:lang w:val="fr-FR"/>
      </w:rPr>
      <w:instrText xml:space="preserve"> FILENAME </w:instrText>
    </w:r>
    <w:r>
      <w:rPr>
        <w:lang w:val="fr-FR"/>
      </w:rPr>
      <w:fldChar w:fldCharType="separate"/>
    </w:r>
    <w:r>
      <w:rPr>
        <w:lang w:val="fr-FR"/>
      </w:rPr>
      <w:t>a9b9c347f3732866128f3adbffc68f8d.docx</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2C9" w:rsidRDefault="009172C9">
      <w:r>
        <w:rPr>
          <w:color w:val="000000"/>
        </w:rPr>
        <w:separator/>
      </w:r>
    </w:p>
  </w:footnote>
  <w:footnote w:type="continuationSeparator" w:id="0">
    <w:p w:rsidR="009172C9" w:rsidRDefault="00917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C86" w:rsidRDefault="009172C9">
    <w:pPr>
      <w:pStyle w:val="En-tte"/>
    </w:pPr>
    <w:r>
      <w:rPr>
        <w:noProof/>
        <w:lang w:val="fr-FR" w:bidi="he-IL"/>
      </w:rPr>
      <w:drawing>
        <wp:anchor distT="0" distB="0" distL="114300" distR="114300" simplePos="0" relativeHeight="251659264" behindDoc="0" locked="0" layoutInCell="1" allowOverlap="1">
          <wp:simplePos x="0" y="0"/>
          <wp:positionH relativeFrom="column">
            <wp:posOffset>5419831</wp:posOffset>
          </wp:positionH>
          <wp:positionV relativeFrom="paragraph">
            <wp:posOffset>92903</wp:posOffset>
          </wp:positionV>
          <wp:extent cx="600852" cy="337687"/>
          <wp:effectExtent l="0" t="0" r="8748" b="0"/>
          <wp:wrapSquare wrapText="bothSides"/>
          <wp:docPr id="1"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00852" cy="337687"/>
                  </a:xfrm>
                  <a:prstGeom prst="rect">
                    <a:avLst/>
                  </a:prstGeom>
                  <a:noFill/>
                  <a:ln>
                    <a:noFill/>
                    <a:prstDash/>
                  </a:ln>
                </pic:spPr>
              </pic:pic>
            </a:graphicData>
          </a:graphic>
        </wp:anchor>
      </w:drawing>
    </w:r>
  </w:p>
  <w:p w:rsidR="004A3C86" w:rsidRPr="00792119" w:rsidRDefault="009172C9">
    <w:pPr>
      <w:pStyle w:val="En-tte"/>
      <w:rPr>
        <w:lang w:val="fr-FR"/>
      </w:rPr>
    </w:pPr>
    <w:r>
      <w:rPr>
        <w:color w:val="808080"/>
        <w:lang w:val="fr-FR"/>
      </w:rPr>
      <w:t xml:space="preserve">Usage Agreement for Application Multiservices </w:t>
    </w:r>
    <w:r>
      <w:rPr>
        <w:color w:val="808080"/>
        <w:lang w:val="fr-FR"/>
      </w:rPr>
      <w:t>Citoyenne Commune</w:t>
    </w:r>
  </w:p>
  <w:p w:rsidR="004A3C86" w:rsidRDefault="009172C9">
    <w:pPr>
      <w:pStyle w:val="En-tte"/>
      <w:rPr>
        <w:rFonts w:ascii="Arial" w:hAnsi="Arial" w:cs="Arial"/>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C86" w:rsidRDefault="009172C9">
    <w:pPr>
      <w:pStyle w:val="En-tte"/>
      <w:tabs>
        <w:tab w:val="clear" w:pos="9072"/>
        <w:tab w:val="left" w:pos="6795"/>
      </w:tabs>
    </w:pPr>
    <w:r>
      <w:rPr>
        <w:noProof/>
        <w:lang w:val="fr-FR" w:bidi="he-IL"/>
      </w:rPr>
      <w:drawing>
        <wp:inline distT="0" distB="0" distL="0" distR="0">
          <wp:extent cx="1797161" cy="928481"/>
          <wp:effectExtent l="0" t="0" r="0" b="4969"/>
          <wp:docPr id="2" name="Imag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797161" cy="928481"/>
                  </a:xfrm>
                  <a:prstGeom prst="rect">
                    <a:avLst/>
                  </a:prstGeom>
                  <a:noFill/>
                  <a:ln>
                    <a:noFill/>
                    <a:prstDash/>
                  </a:ln>
                </pic:spPr>
              </pic:pic>
            </a:graphicData>
          </a:graphic>
        </wp:inline>
      </w:drawing>
    </w:r>
  </w:p>
  <w:p w:rsidR="004A3C86" w:rsidRDefault="009172C9">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592"/>
    <w:multiLevelType w:val="multilevel"/>
    <w:tmpl w:val="BF64E6EC"/>
    <w:styleLink w:val="WWNum3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0">
    <w:nsid w:val="061A4787"/>
    <w:multiLevelType w:val="multilevel"/>
    <w:tmpl w:val="76D07946"/>
    <w:styleLink w:val="WWNum12"/>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6481F32"/>
    <w:multiLevelType w:val="multilevel"/>
    <w:tmpl w:val="CE6EFE10"/>
    <w:styleLink w:val="WWNum1"/>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9D90D13"/>
    <w:multiLevelType w:val="multilevel"/>
    <w:tmpl w:val="67CC52A0"/>
    <w:styleLink w:val="WWNum41"/>
    <w:lvl w:ilvl="0">
      <w:start w:val="1"/>
      <w:numFmt w:val="decimal"/>
      <w:lvlText w:val="Section %1."/>
      <w:lvlJc w:val="left"/>
      <w:pPr>
        <w:ind w:left="360" w:hanging="360"/>
      </w:pPr>
      <w:rPr>
        <w:rFonts w:cs="Times New Roman"/>
        <w:b/>
      </w:rPr>
    </w:lvl>
    <w:lvl w:ilvl="1">
      <w:start w:val="1"/>
      <w:numFmt w:val="decimal"/>
      <w:lvlText w:val="%1.%2"/>
      <w:lvlJc w:val="left"/>
      <w:pPr>
        <w:ind w:left="720" w:hanging="360"/>
      </w:pPr>
      <w:rPr>
        <w:rFonts w:cs="Times New Roman"/>
        <w:i w:val="0"/>
        <w:sz w:val="24"/>
        <w:szCs w:val="24"/>
      </w:rPr>
    </w:lvl>
    <w:lvl w:ilvl="2">
      <w:start w:val="1"/>
      <w:numFmt w:val="decimal"/>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653B27"/>
    <w:multiLevelType w:val="multilevel"/>
    <w:tmpl w:val="F54AC6E0"/>
    <w:styleLink w:val="WWNum6"/>
    <w:lvl w:ilvl="0">
      <w:numFmt w:val="bullet"/>
      <w:lvlText w:val=""/>
      <w:lvlJc w:val="left"/>
      <w:pPr>
        <w:ind w:left="360" w:hanging="360"/>
      </w:pPr>
      <w:rPr>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D8A0EAA"/>
    <w:multiLevelType w:val="multilevel"/>
    <w:tmpl w:val="97B0D66A"/>
    <w:styleLink w:val="WWNum10"/>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F461CAA"/>
    <w:multiLevelType w:val="multilevel"/>
    <w:tmpl w:val="B5AE638C"/>
    <w:styleLink w:val="WWNum7"/>
    <w:lvl w:ilvl="0">
      <w:numFmt w:val="bullet"/>
      <w:lvlText w:val=""/>
      <w:lvlJc w:val="left"/>
      <w:pPr>
        <w:ind w:left="360" w:hanging="360"/>
      </w:pPr>
      <w:rPr>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051323D"/>
    <w:multiLevelType w:val="multilevel"/>
    <w:tmpl w:val="37FAE872"/>
    <w:styleLink w:val="WWNum11"/>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06B090F"/>
    <w:multiLevelType w:val="multilevel"/>
    <w:tmpl w:val="49FA88A0"/>
    <w:styleLink w:val="WWNum19"/>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1564767"/>
    <w:multiLevelType w:val="multilevel"/>
    <w:tmpl w:val="008E8B12"/>
    <w:styleLink w:val="WWNum25"/>
    <w:lvl w:ilvl="0">
      <w:numFmt w:val="bullet"/>
      <w:lvlText w:val="-"/>
      <w:lvlJc w:val="left"/>
      <w:pPr>
        <w:ind w:left="720" w:hanging="360"/>
      </w:pPr>
      <w:rPr>
        <w:rFonts w:ascii="Times New Roman" w:eastAsia="Times New Roman" w:hAnsi="Times New Roman" w:cs="Aria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0" w15:restartNumberingAfterBreak="0">
    <w:nsid w:val="1C692AAB"/>
    <w:multiLevelType w:val="multilevel"/>
    <w:tmpl w:val="4D401810"/>
    <w:styleLink w:val="Outline"/>
    <w:lvl w:ilvl="0">
      <w:start w:val="1"/>
      <w:numFmt w:val="decimal"/>
      <w:lvlText w:val="Section %1."/>
      <w:lvlJc w:val="left"/>
      <w:pPr>
        <w:ind w:left="360" w:hanging="360"/>
      </w:pPr>
      <w:rPr>
        <w:rFonts w:cs="Times New Roman"/>
        <w:b/>
      </w:rPr>
    </w:lvl>
    <w:lvl w:ilvl="1">
      <w:start w:val="1"/>
      <w:numFmt w:val="decimal"/>
      <w:lvlText w:val="%1.%2"/>
      <w:lvlJc w:val="left"/>
      <w:pPr>
        <w:ind w:left="720" w:hanging="360"/>
      </w:pPr>
      <w:rPr>
        <w:rFonts w:cs="Times New Roman"/>
        <w:i w:val="0"/>
        <w:sz w:val="24"/>
        <w:szCs w:val="24"/>
      </w:rPr>
    </w:lvl>
    <w:lvl w:ilvl="2">
      <w:start w:val="1"/>
      <w:numFmt w:val="decimal"/>
      <w:lvlText w:val="%1.%2.%3"/>
      <w:lvlJc w:val="left"/>
      <w:pPr>
        <w:ind w:left="108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DD83175"/>
    <w:multiLevelType w:val="multilevel"/>
    <w:tmpl w:val="14264AF8"/>
    <w:styleLink w:val="WWNum21"/>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E056AEF"/>
    <w:multiLevelType w:val="multilevel"/>
    <w:tmpl w:val="25B0206E"/>
    <w:styleLink w:val="WWNum14"/>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E1E20FD"/>
    <w:multiLevelType w:val="multilevel"/>
    <w:tmpl w:val="9B58E9D4"/>
    <w:styleLink w:val="WWNum9"/>
    <w:lvl w:ilvl="0">
      <w:numFmt w:val="bullet"/>
      <w:lvlText w:val=""/>
      <w:lvlJc w:val="left"/>
      <w:pPr>
        <w:ind w:left="360" w:hanging="360"/>
      </w:pPr>
      <w:rPr>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E804498"/>
    <w:multiLevelType w:val="multilevel"/>
    <w:tmpl w:val="829ABCD0"/>
    <w:styleLink w:val="WWNum5"/>
    <w:lvl w:ilvl="0">
      <w:numFmt w:val="bullet"/>
      <w:lvlText w:val=""/>
      <w:lvlJc w:val="left"/>
      <w:pPr>
        <w:ind w:left="360" w:hanging="360"/>
      </w:pPr>
      <w:rPr>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2426EDC"/>
    <w:multiLevelType w:val="multilevel"/>
    <w:tmpl w:val="596E270C"/>
    <w:styleLink w:val="WWNum29"/>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6C933A3"/>
    <w:multiLevelType w:val="multilevel"/>
    <w:tmpl w:val="43B62992"/>
    <w:styleLink w:val="WWNum42"/>
    <w:lvl w:ilvl="0">
      <w:start w:val="1"/>
      <w:numFmt w:val="decimal"/>
      <w:lvlText w:val="Section %1."/>
      <w:lvlJc w:val="left"/>
      <w:pPr>
        <w:ind w:left="360" w:hanging="360"/>
      </w:pPr>
      <w:rPr>
        <w:rFonts w:cs="Times New Roman"/>
        <w:b/>
      </w:rPr>
    </w:lvl>
    <w:lvl w:ilvl="1">
      <w:start w:val="1"/>
      <w:numFmt w:val="decimal"/>
      <w:lvlText w:val="%1.%2"/>
      <w:lvlJc w:val="left"/>
      <w:pPr>
        <w:ind w:left="720" w:hanging="360"/>
      </w:pPr>
      <w:rPr>
        <w:rFonts w:cs="Times New Roman"/>
        <w:i w:val="0"/>
        <w:sz w:val="24"/>
        <w:szCs w:val="24"/>
      </w:rPr>
    </w:lvl>
    <w:lvl w:ilvl="2">
      <w:start w:val="1"/>
      <w:numFmt w:val="decimal"/>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820A9D"/>
    <w:multiLevelType w:val="multilevel"/>
    <w:tmpl w:val="BBFC409C"/>
    <w:styleLink w:val="WWNum43"/>
    <w:lvl w:ilvl="0">
      <w:numFmt w:val="bullet"/>
      <w:lvlText w:val=""/>
      <w:lvlJc w:val="left"/>
      <w:pPr>
        <w:ind w:left="836" w:hanging="360"/>
      </w:pPr>
      <w:rPr>
        <w:rFonts w:ascii="Times New Roman" w:eastAsia="Wingdings" w:hAnsi="Times New Roman" w:cs="Wingdings"/>
        <w:w w:val="100"/>
        <w:sz w:val="22"/>
        <w:szCs w:val="22"/>
      </w:rPr>
    </w:lvl>
    <w:lvl w:ilvl="1">
      <w:numFmt w:val="bullet"/>
      <w:lvlText w:val="o"/>
      <w:lvlJc w:val="left"/>
      <w:pPr>
        <w:ind w:left="1556" w:hanging="360"/>
      </w:pPr>
      <w:rPr>
        <w:rFonts w:ascii="Times New Roman" w:eastAsia="Courier New" w:hAnsi="Times New Roman" w:cs="Courier New"/>
        <w:w w:val="100"/>
        <w:sz w:val="22"/>
        <w:szCs w:val="22"/>
      </w:rPr>
    </w:lvl>
    <w:lvl w:ilvl="2">
      <w:numFmt w:val="bullet"/>
      <w:lvlText w:val="•"/>
      <w:lvlJc w:val="left"/>
      <w:pPr>
        <w:ind w:left="1560" w:hanging="360"/>
      </w:pPr>
    </w:lvl>
    <w:lvl w:ilvl="3">
      <w:numFmt w:val="bullet"/>
      <w:lvlText w:val="•"/>
      <w:lvlJc w:val="left"/>
      <w:pPr>
        <w:ind w:left="2575" w:hanging="360"/>
      </w:pPr>
    </w:lvl>
    <w:lvl w:ilvl="4">
      <w:numFmt w:val="bullet"/>
      <w:lvlText w:val="•"/>
      <w:lvlJc w:val="left"/>
      <w:pPr>
        <w:ind w:left="3591" w:hanging="360"/>
      </w:pPr>
    </w:lvl>
    <w:lvl w:ilvl="5">
      <w:numFmt w:val="bullet"/>
      <w:lvlText w:val="•"/>
      <w:lvlJc w:val="left"/>
      <w:pPr>
        <w:ind w:left="4607" w:hanging="360"/>
      </w:pPr>
    </w:lvl>
    <w:lvl w:ilvl="6">
      <w:numFmt w:val="bullet"/>
      <w:lvlText w:val="•"/>
      <w:lvlJc w:val="left"/>
      <w:pPr>
        <w:ind w:left="5623" w:hanging="360"/>
      </w:pPr>
    </w:lvl>
    <w:lvl w:ilvl="7">
      <w:numFmt w:val="bullet"/>
      <w:lvlText w:val="•"/>
      <w:lvlJc w:val="left"/>
      <w:pPr>
        <w:ind w:left="6639" w:hanging="360"/>
      </w:pPr>
    </w:lvl>
    <w:lvl w:ilvl="8">
      <w:numFmt w:val="bullet"/>
      <w:lvlText w:val="•"/>
      <w:lvlJc w:val="left"/>
      <w:pPr>
        <w:ind w:left="7654" w:hanging="360"/>
      </w:pPr>
    </w:lvl>
  </w:abstractNum>
  <w:abstractNum w:abstractNumId="18" w15:restartNumberingAfterBreak="0">
    <w:nsid w:val="2AA365FC"/>
    <w:multiLevelType w:val="multilevel"/>
    <w:tmpl w:val="5EF07AE2"/>
    <w:styleLink w:val="WWNum27"/>
    <w:lvl w:ilvl="0">
      <w:numFmt w:val="bullet"/>
      <w:lvlText w:val="-"/>
      <w:lvlJc w:val="left"/>
      <w:pPr>
        <w:ind w:left="720" w:hanging="360"/>
      </w:pPr>
      <w:rPr>
        <w:rFonts w:ascii="Times New Roman" w:eastAsia="Times New Roman" w:hAnsi="Times New Roman" w:cs="Aria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9" w15:restartNumberingAfterBreak="0">
    <w:nsid w:val="301D0033"/>
    <w:multiLevelType w:val="multilevel"/>
    <w:tmpl w:val="C6B81D88"/>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6B053B"/>
    <w:multiLevelType w:val="multilevel"/>
    <w:tmpl w:val="964423A4"/>
    <w:styleLink w:val="WWNum2"/>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4055430"/>
    <w:multiLevelType w:val="multilevel"/>
    <w:tmpl w:val="09A453CA"/>
    <w:styleLink w:val="WWNum39"/>
    <w:lvl w:ilvl="0">
      <w:start w:val="1"/>
      <w:numFmt w:val="decimal"/>
      <w:lvlText w:val="Section %1."/>
      <w:lvlJc w:val="left"/>
      <w:pPr>
        <w:ind w:left="360" w:hanging="360"/>
      </w:pPr>
      <w:rPr>
        <w:rFonts w:cs="Times New Roman"/>
        <w:b/>
      </w:rPr>
    </w:lvl>
    <w:lvl w:ilvl="1">
      <w:start w:val="1"/>
      <w:numFmt w:val="decimal"/>
      <w:lvlText w:val="%1.%2"/>
      <w:lvlJc w:val="left"/>
      <w:pPr>
        <w:ind w:left="720" w:hanging="360"/>
      </w:pPr>
      <w:rPr>
        <w:rFonts w:cs="Times New Roman"/>
        <w:i w:val="0"/>
        <w:sz w:val="24"/>
        <w:szCs w:val="24"/>
      </w:rPr>
    </w:lvl>
    <w:lvl w:ilvl="2">
      <w:start w:val="1"/>
      <w:numFmt w:val="decimal"/>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BA0903"/>
    <w:multiLevelType w:val="multilevel"/>
    <w:tmpl w:val="AD16CDB2"/>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077AE5"/>
    <w:multiLevelType w:val="multilevel"/>
    <w:tmpl w:val="10F60812"/>
    <w:styleLink w:val="WWNum3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4" w15:restartNumberingAfterBreak="0">
    <w:nsid w:val="39524824"/>
    <w:multiLevelType w:val="multilevel"/>
    <w:tmpl w:val="A71674FA"/>
    <w:styleLink w:val="WWNum4"/>
    <w:lvl w:ilvl="0">
      <w:numFmt w:val="bullet"/>
      <w:lvlText w:val=""/>
      <w:lvlJc w:val="left"/>
      <w:pPr>
        <w:ind w:left="360" w:hanging="360"/>
      </w:pPr>
      <w:rPr>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BD05549"/>
    <w:multiLevelType w:val="multilevel"/>
    <w:tmpl w:val="5866BAAA"/>
    <w:styleLink w:val="WWNum33"/>
    <w:lvl w:ilvl="0">
      <w:start w:val="1"/>
      <w:numFmt w:val="lowerLetter"/>
      <w:lvlText w:val="%1)"/>
      <w:lvlJc w:val="left"/>
      <w:pPr>
        <w:ind w:left="360" w:hanging="360"/>
      </w:pPr>
    </w:lvl>
    <w:lvl w:ilvl="1">
      <w:numFmt w:val="bullet"/>
      <w:lvlText w:val="-"/>
      <w:lvlJc w:val="left"/>
      <w:pPr>
        <w:ind w:left="1440" w:hanging="360"/>
      </w:pPr>
      <w:rPr>
        <w:rFonts w:ascii="Times New Roman" w:eastAsia="Times New Roman" w:hAnsi="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D202578"/>
    <w:multiLevelType w:val="multilevel"/>
    <w:tmpl w:val="59FC7372"/>
    <w:styleLink w:val="WWNum8"/>
    <w:lvl w:ilvl="0">
      <w:numFmt w:val="bullet"/>
      <w:lvlText w:val=""/>
      <w:lvlJc w:val="left"/>
      <w:pPr>
        <w:ind w:left="360" w:hanging="360"/>
      </w:pPr>
      <w:rPr>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426840FE"/>
    <w:multiLevelType w:val="multilevel"/>
    <w:tmpl w:val="48A8AFB4"/>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8" w15:restartNumberingAfterBreak="0">
    <w:nsid w:val="48B519C1"/>
    <w:multiLevelType w:val="multilevel"/>
    <w:tmpl w:val="89A63808"/>
    <w:styleLink w:val="WWNum37"/>
    <w:lvl w:ilvl="0">
      <w:start w:val="1"/>
      <w:numFmt w:val="decimal"/>
      <w:lvlText w:val="Section %1."/>
      <w:lvlJc w:val="left"/>
      <w:pPr>
        <w:ind w:left="360" w:hanging="360"/>
      </w:pPr>
      <w:rPr>
        <w:rFonts w:cs="Times New Roman"/>
        <w:b/>
      </w:rPr>
    </w:lvl>
    <w:lvl w:ilvl="1">
      <w:start w:val="1"/>
      <w:numFmt w:val="decimal"/>
      <w:lvlText w:val="%1.%2"/>
      <w:lvlJc w:val="left"/>
      <w:pPr>
        <w:ind w:left="720" w:hanging="360"/>
      </w:pPr>
      <w:rPr>
        <w:rFonts w:cs="Times New Roman"/>
        <w:i w:val="0"/>
        <w:sz w:val="24"/>
        <w:szCs w:val="24"/>
      </w:rPr>
    </w:lvl>
    <w:lvl w:ilvl="2">
      <w:start w:val="1"/>
      <w:numFmt w:val="decimal"/>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BC3B8E"/>
    <w:multiLevelType w:val="multilevel"/>
    <w:tmpl w:val="E4DEB6B2"/>
    <w:styleLink w:val="WWNum22"/>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4CD36D83"/>
    <w:multiLevelType w:val="multilevel"/>
    <w:tmpl w:val="28C2EB54"/>
    <w:styleLink w:val="WWNum3"/>
    <w:lvl w:ilvl="0">
      <w:numFmt w:val="bullet"/>
      <w:lvlText w:val=""/>
      <w:lvlJc w:val="left"/>
      <w:pPr>
        <w:ind w:left="360" w:hanging="360"/>
      </w:pPr>
      <w:rPr>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4E537C0F"/>
    <w:multiLevelType w:val="multilevel"/>
    <w:tmpl w:val="293C3176"/>
    <w:styleLink w:val="WWNum1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57970BB8"/>
    <w:multiLevelType w:val="multilevel"/>
    <w:tmpl w:val="AD5E60C8"/>
    <w:styleLink w:val="WWNum28"/>
    <w:lvl w:ilvl="0">
      <w:numFmt w:val="bullet"/>
      <w:lvlText w:val="-"/>
      <w:lvlJc w:val="left"/>
      <w:pPr>
        <w:ind w:left="720" w:hanging="360"/>
      </w:pPr>
      <w:rPr>
        <w:rFonts w:ascii="Times New Roman" w:eastAsia="Times New Roman" w:hAnsi="Times New Roman" w:cs="Aria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3" w15:restartNumberingAfterBreak="0">
    <w:nsid w:val="59C101C8"/>
    <w:multiLevelType w:val="multilevel"/>
    <w:tmpl w:val="1A4C584C"/>
    <w:styleLink w:val="WWNum34"/>
    <w:lvl w:ilvl="0">
      <w:start w:val="1"/>
      <w:numFmt w:val="decimal"/>
      <w:lvlText w:val="Section %1."/>
      <w:lvlJc w:val="left"/>
      <w:pPr>
        <w:ind w:left="360" w:hanging="360"/>
      </w:pPr>
      <w:rPr>
        <w:rFonts w:cs="Times New Roman"/>
        <w:b/>
      </w:rPr>
    </w:lvl>
    <w:lvl w:ilvl="1">
      <w:start w:val="1"/>
      <w:numFmt w:val="decimal"/>
      <w:lvlText w:val="%1.%2"/>
      <w:lvlJc w:val="left"/>
      <w:pPr>
        <w:ind w:left="720" w:hanging="360"/>
      </w:pPr>
      <w:rPr>
        <w:rFonts w:cs="Times New Roman"/>
        <w:i w:val="0"/>
        <w:sz w:val="24"/>
        <w:szCs w:val="24"/>
      </w:rPr>
    </w:lvl>
    <w:lvl w:ilvl="2">
      <w:start w:val="1"/>
      <w:numFmt w:val="decimal"/>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C3367CD"/>
    <w:multiLevelType w:val="multilevel"/>
    <w:tmpl w:val="F260FA28"/>
    <w:styleLink w:val="WWNum36"/>
    <w:lvl w:ilvl="0">
      <w:start w:val="1"/>
      <w:numFmt w:val="lowerLetter"/>
      <w:lvlText w:val="%1)"/>
      <w:lvlJc w:val="left"/>
      <w:pPr>
        <w:ind w:left="360" w:hanging="360"/>
      </w:pPr>
    </w:lvl>
    <w:lvl w:ilvl="1">
      <w:numFmt w:val="bullet"/>
      <w:lvlText w:val="-"/>
      <w:lvlJc w:val="left"/>
      <w:pPr>
        <w:ind w:left="1440" w:hanging="360"/>
      </w:pPr>
      <w:rPr>
        <w:rFonts w:ascii="Times New Roman" w:eastAsia="Times New Roman" w:hAnsi="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AF5A5C"/>
    <w:multiLevelType w:val="multilevel"/>
    <w:tmpl w:val="A1163B84"/>
    <w:styleLink w:val="WWNum35"/>
    <w:lvl w:ilvl="0">
      <w:start w:val="1"/>
      <w:numFmt w:val="decimal"/>
      <w:lvlText w:val="Section %1."/>
      <w:lvlJc w:val="left"/>
      <w:pPr>
        <w:ind w:left="360" w:hanging="360"/>
      </w:pPr>
      <w:rPr>
        <w:rFonts w:cs="Times New Roman"/>
        <w:b/>
      </w:rPr>
    </w:lvl>
    <w:lvl w:ilvl="1">
      <w:start w:val="1"/>
      <w:numFmt w:val="decimal"/>
      <w:lvlText w:val="%1.%2"/>
      <w:lvlJc w:val="left"/>
      <w:pPr>
        <w:ind w:left="720" w:hanging="360"/>
      </w:pPr>
      <w:rPr>
        <w:rFonts w:cs="Times New Roman"/>
        <w:i w:val="0"/>
        <w:sz w:val="24"/>
        <w:szCs w:val="24"/>
      </w:rPr>
    </w:lvl>
    <w:lvl w:ilvl="2">
      <w:start w:val="1"/>
      <w:numFmt w:val="decimal"/>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AD12873"/>
    <w:multiLevelType w:val="multilevel"/>
    <w:tmpl w:val="F9106D8E"/>
    <w:styleLink w:val="WWNum38"/>
    <w:lvl w:ilvl="0">
      <w:start w:val="1"/>
      <w:numFmt w:val="decimal"/>
      <w:lvlText w:val="Section %1."/>
      <w:lvlJc w:val="left"/>
      <w:pPr>
        <w:ind w:left="360" w:hanging="360"/>
      </w:pPr>
      <w:rPr>
        <w:rFonts w:cs="Times New Roman"/>
        <w:b/>
      </w:rPr>
    </w:lvl>
    <w:lvl w:ilvl="1">
      <w:start w:val="1"/>
      <w:numFmt w:val="decimal"/>
      <w:lvlText w:val="%1.%2"/>
      <w:lvlJc w:val="left"/>
      <w:pPr>
        <w:ind w:left="720" w:hanging="360"/>
      </w:pPr>
      <w:rPr>
        <w:rFonts w:cs="Times New Roman"/>
        <w:i w:val="0"/>
        <w:sz w:val="24"/>
        <w:szCs w:val="24"/>
      </w:rPr>
    </w:lvl>
    <w:lvl w:ilvl="2">
      <w:start w:val="1"/>
      <w:numFmt w:val="decimal"/>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8377AC"/>
    <w:multiLevelType w:val="multilevel"/>
    <w:tmpl w:val="88B4F396"/>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E13134F"/>
    <w:multiLevelType w:val="multilevel"/>
    <w:tmpl w:val="E29AA8CA"/>
    <w:styleLink w:val="WWNum17"/>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6E354991"/>
    <w:multiLevelType w:val="multilevel"/>
    <w:tmpl w:val="FBFEDA8E"/>
    <w:styleLink w:val="WWNum20"/>
    <w:lvl w:ilvl="0">
      <w:numFmt w:val="bullet"/>
      <w:lvlText w:val=""/>
      <w:lvlJc w:val="left"/>
      <w:pPr>
        <w:ind w:left="360" w:hanging="360"/>
      </w:pPr>
      <w:rPr>
        <w:b/>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6ED07D7B"/>
    <w:multiLevelType w:val="multilevel"/>
    <w:tmpl w:val="7B141D72"/>
    <w:styleLink w:val="WWNum24"/>
    <w:lvl w:ilvl="0">
      <w:numFmt w:val="bullet"/>
      <w:lvlText w:val="-"/>
      <w:lvlJc w:val="left"/>
      <w:pPr>
        <w:ind w:left="720" w:hanging="360"/>
      </w:pPr>
      <w:rPr>
        <w:rFonts w:ascii="Times New Roman" w:eastAsia="Times New Roman" w:hAnsi="Times New Roman" w:cs="Aria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1" w15:restartNumberingAfterBreak="0">
    <w:nsid w:val="6F3A4B96"/>
    <w:multiLevelType w:val="multilevel"/>
    <w:tmpl w:val="D8DC254C"/>
    <w:styleLink w:val="WWNum18"/>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6F6D0005"/>
    <w:multiLevelType w:val="multilevel"/>
    <w:tmpl w:val="C36EEC96"/>
    <w:styleLink w:val="WWNum16"/>
    <w:lvl w:ilvl="0">
      <w:numFmt w:val="bullet"/>
      <w:lvlText w:val=""/>
      <w:lvlJc w:val="left"/>
      <w:pPr>
        <w:ind w:left="360" w:hanging="360"/>
      </w:pPr>
      <w:rPr>
        <w:b/>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7D4F0E8F"/>
    <w:multiLevelType w:val="multilevel"/>
    <w:tmpl w:val="57387272"/>
    <w:styleLink w:val="WWNum40"/>
    <w:lvl w:ilvl="0">
      <w:start w:val="1"/>
      <w:numFmt w:val="decimal"/>
      <w:lvlText w:val="Section %1."/>
      <w:lvlJc w:val="left"/>
      <w:pPr>
        <w:ind w:left="360" w:hanging="360"/>
      </w:pPr>
      <w:rPr>
        <w:rFonts w:cs="Times New Roman"/>
        <w:b/>
      </w:rPr>
    </w:lvl>
    <w:lvl w:ilvl="1">
      <w:start w:val="1"/>
      <w:numFmt w:val="decimal"/>
      <w:lvlText w:val="%1.%2"/>
      <w:lvlJc w:val="left"/>
      <w:pPr>
        <w:ind w:left="720" w:hanging="360"/>
      </w:pPr>
      <w:rPr>
        <w:rFonts w:cs="Times New Roman"/>
        <w:i w:val="0"/>
        <w:sz w:val="24"/>
        <w:szCs w:val="24"/>
      </w:rPr>
    </w:lvl>
    <w:lvl w:ilvl="2">
      <w:start w:val="1"/>
      <w:numFmt w:val="decimal"/>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D7A7AF7"/>
    <w:multiLevelType w:val="multilevel"/>
    <w:tmpl w:val="5EDC96F2"/>
    <w:styleLink w:val="WWOutlineListStyle"/>
    <w:lvl w:ilvl="0">
      <w:start w:val="1"/>
      <w:numFmt w:val="decimal"/>
      <w:pStyle w:val="Titre1"/>
      <w:lvlText w:val="Section %1."/>
      <w:lvlJc w:val="left"/>
      <w:pPr>
        <w:ind w:left="360" w:hanging="360"/>
      </w:pPr>
      <w:rPr>
        <w:rFonts w:cs="Times New Roman"/>
        <w:b/>
      </w:rPr>
    </w:lvl>
    <w:lvl w:ilvl="1">
      <w:start w:val="1"/>
      <w:numFmt w:val="decimal"/>
      <w:pStyle w:val="Titre2"/>
      <w:lvlText w:val="%1.%2"/>
      <w:lvlJc w:val="left"/>
      <w:pPr>
        <w:ind w:left="720" w:hanging="360"/>
      </w:pPr>
      <w:rPr>
        <w:rFonts w:cs="Times New Roman"/>
        <w:i w:val="0"/>
        <w:sz w:val="24"/>
        <w:szCs w:val="24"/>
      </w:rPr>
    </w:lvl>
    <w:lvl w:ilvl="2">
      <w:start w:val="1"/>
      <w:numFmt w:val="decimal"/>
      <w:pStyle w:val="Titre3"/>
      <w:lvlText w:val="%1.%2.%3"/>
      <w:lvlJc w:val="left"/>
      <w:pPr>
        <w:ind w:left="1080"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FE41EFC"/>
    <w:multiLevelType w:val="multilevel"/>
    <w:tmpl w:val="E07C6F4C"/>
    <w:styleLink w:val="WWNum13"/>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4"/>
  </w:num>
  <w:num w:numId="2">
    <w:abstractNumId w:val="10"/>
  </w:num>
  <w:num w:numId="3">
    <w:abstractNumId w:val="27"/>
  </w:num>
  <w:num w:numId="4">
    <w:abstractNumId w:val="2"/>
  </w:num>
  <w:num w:numId="5">
    <w:abstractNumId w:val="20"/>
  </w:num>
  <w:num w:numId="6">
    <w:abstractNumId w:val="30"/>
  </w:num>
  <w:num w:numId="7">
    <w:abstractNumId w:val="24"/>
  </w:num>
  <w:num w:numId="8">
    <w:abstractNumId w:val="14"/>
  </w:num>
  <w:num w:numId="9">
    <w:abstractNumId w:val="4"/>
  </w:num>
  <w:num w:numId="10">
    <w:abstractNumId w:val="6"/>
  </w:num>
  <w:num w:numId="11">
    <w:abstractNumId w:val="26"/>
  </w:num>
  <w:num w:numId="12">
    <w:abstractNumId w:val="13"/>
  </w:num>
  <w:num w:numId="13">
    <w:abstractNumId w:val="5"/>
  </w:num>
  <w:num w:numId="14">
    <w:abstractNumId w:val="7"/>
  </w:num>
  <w:num w:numId="15">
    <w:abstractNumId w:val="1"/>
  </w:num>
  <w:num w:numId="16">
    <w:abstractNumId w:val="45"/>
  </w:num>
  <w:num w:numId="17">
    <w:abstractNumId w:val="12"/>
  </w:num>
  <w:num w:numId="18">
    <w:abstractNumId w:val="31"/>
  </w:num>
  <w:num w:numId="19">
    <w:abstractNumId w:val="42"/>
  </w:num>
  <w:num w:numId="20">
    <w:abstractNumId w:val="38"/>
  </w:num>
  <w:num w:numId="21">
    <w:abstractNumId w:val="41"/>
  </w:num>
  <w:num w:numId="22">
    <w:abstractNumId w:val="8"/>
  </w:num>
  <w:num w:numId="23">
    <w:abstractNumId w:val="39"/>
  </w:num>
  <w:num w:numId="24">
    <w:abstractNumId w:val="11"/>
  </w:num>
  <w:num w:numId="25">
    <w:abstractNumId w:val="29"/>
  </w:num>
  <w:num w:numId="26">
    <w:abstractNumId w:val="22"/>
  </w:num>
  <w:num w:numId="27">
    <w:abstractNumId w:val="40"/>
  </w:num>
  <w:num w:numId="28">
    <w:abstractNumId w:val="9"/>
  </w:num>
  <w:num w:numId="29">
    <w:abstractNumId w:val="37"/>
  </w:num>
  <w:num w:numId="30">
    <w:abstractNumId w:val="18"/>
  </w:num>
  <w:num w:numId="31">
    <w:abstractNumId w:val="32"/>
  </w:num>
  <w:num w:numId="32">
    <w:abstractNumId w:val="15"/>
  </w:num>
  <w:num w:numId="33">
    <w:abstractNumId w:val="19"/>
  </w:num>
  <w:num w:numId="34">
    <w:abstractNumId w:val="23"/>
  </w:num>
  <w:num w:numId="35">
    <w:abstractNumId w:val="0"/>
  </w:num>
  <w:num w:numId="36">
    <w:abstractNumId w:val="25"/>
  </w:num>
  <w:num w:numId="37">
    <w:abstractNumId w:val="33"/>
  </w:num>
  <w:num w:numId="38">
    <w:abstractNumId w:val="35"/>
  </w:num>
  <w:num w:numId="39">
    <w:abstractNumId w:val="34"/>
  </w:num>
  <w:num w:numId="40">
    <w:abstractNumId w:val="28"/>
  </w:num>
  <w:num w:numId="41">
    <w:abstractNumId w:val="36"/>
  </w:num>
  <w:num w:numId="42">
    <w:abstractNumId w:val="21"/>
  </w:num>
  <w:num w:numId="43">
    <w:abstractNumId w:val="43"/>
  </w:num>
  <w:num w:numId="44">
    <w:abstractNumId w:val="3"/>
  </w:num>
  <w:num w:numId="45">
    <w:abstractNumId w:val="16"/>
  </w:num>
  <w:num w:numId="46">
    <w:abstractNumId w:val="17"/>
  </w:num>
  <w:num w:numId="47">
    <w:abstractNumId w:val="25"/>
    <w:lvlOverride w:ilvl="0">
      <w:startOverride w:val="1"/>
    </w:lvlOverride>
  </w:num>
  <w:num w:numId="48">
    <w:abstractNumId w:val="3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2A77BC"/>
    <w:rsid w:val="002A77BC"/>
    <w:rsid w:val="00792119"/>
    <w:rsid w:val="009172C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33386B-7122-4567-9B19-B1B27D25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fr-FR" w:eastAsia="fr-FR" w:bidi="ar-SA"/>
      </w:rPr>
    </w:rPrDefault>
    <w:pPrDefault>
      <w:pPr>
        <w:widowControl w:val="0"/>
        <w:autoSpaceDN w:val="0"/>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suppressAutoHyphens/>
    </w:pPr>
  </w:style>
  <w:style w:type="paragraph" w:styleId="Titre1">
    <w:name w:val="heading 1"/>
    <w:basedOn w:val="Standard"/>
    <w:next w:val="Standard"/>
    <w:pPr>
      <w:keepNext/>
      <w:numPr>
        <w:numId w:val="1"/>
      </w:numPr>
      <w:jc w:val="both"/>
      <w:outlineLvl w:val="0"/>
    </w:pPr>
    <w:rPr>
      <w:b/>
      <w:szCs w:val="24"/>
      <w:lang w:val="fr-FR"/>
    </w:rPr>
  </w:style>
  <w:style w:type="paragraph" w:styleId="Titre2">
    <w:name w:val="heading 2"/>
    <w:basedOn w:val="Standard"/>
    <w:next w:val="Standard"/>
    <w:pPr>
      <w:widowControl w:val="0"/>
      <w:numPr>
        <w:ilvl w:val="1"/>
        <w:numId w:val="1"/>
      </w:numPr>
      <w:tabs>
        <w:tab w:val="left" w:pos="414"/>
      </w:tabs>
      <w:spacing w:before="120"/>
      <w:jc w:val="both"/>
      <w:outlineLvl w:val="1"/>
    </w:pPr>
    <w:rPr>
      <w:lang w:val="fr-FR"/>
    </w:rPr>
  </w:style>
  <w:style w:type="paragraph" w:styleId="Titre3">
    <w:name w:val="heading 3"/>
    <w:basedOn w:val="Standard"/>
    <w:pPr>
      <w:numPr>
        <w:ilvl w:val="2"/>
        <w:numId w:val="1"/>
      </w:numPr>
      <w:spacing w:before="60"/>
      <w:jc w:val="both"/>
      <w:outlineLvl w:val="2"/>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
    <w:name w:val="WW_OutlineListStyle"/>
    <w:basedOn w:val="Aucuneliste"/>
    <w:pPr>
      <w:numPr>
        <w:numId w:val="1"/>
      </w:numPr>
    </w:pPr>
  </w:style>
  <w:style w:type="paragraph" w:customStyle="1" w:styleId="Standard">
    <w:name w:val="Standard"/>
    <w:pPr>
      <w:widowControl/>
      <w:suppressAutoHyphens/>
    </w:pPr>
    <w:rPr>
      <w:lang w:val="en-GB"/>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before="120"/>
    </w:pPr>
    <w:rPr>
      <w:sz w:val="22"/>
      <w:szCs w:val="22"/>
      <w:lang w:val="fr-FR"/>
    </w:rPr>
  </w:style>
  <w:style w:type="paragraph" w:styleId="Liste">
    <w:name w:val="List"/>
    <w:basedOn w:val="Textbody"/>
    <w:rPr>
      <w:rFonts w:cs="Noto Sans Devanagari"/>
      <w:sz w:val="24"/>
    </w:rPr>
  </w:style>
  <w:style w:type="paragraph" w:styleId="Lgende">
    <w:name w:val="caption"/>
    <w:basedOn w:val="Standard"/>
    <w:pPr>
      <w:suppressLineNumbers/>
      <w:spacing w:before="120" w:after="120"/>
    </w:pPr>
    <w:rPr>
      <w:rFonts w:cs="Noto Sans Devanagari"/>
      <w:i/>
      <w:iCs/>
      <w:szCs w:val="24"/>
    </w:rPr>
  </w:style>
  <w:style w:type="paragraph" w:customStyle="1" w:styleId="Index">
    <w:name w:val="Index"/>
    <w:basedOn w:val="Standard"/>
    <w:pPr>
      <w:suppressLineNumbers/>
    </w:pPr>
    <w:rPr>
      <w:rFonts w:cs="Noto Sans Devanagari"/>
    </w:rPr>
  </w:style>
  <w:style w:type="paragraph" w:customStyle="1" w:styleId="NormalT3">
    <w:name w:val="Normal T3"/>
    <w:basedOn w:val="Standard"/>
    <w:pPr>
      <w:ind w:left="1418"/>
      <w:jc w:val="both"/>
    </w:pPr>
    <w:rPr>
      <w:rFonts w:ascii="Arial" w:eastAsia="Arial" w:hAnsi="Arial" w:cs="Arial"/>
      <w:lang w:val="fr-FR"/>
    </w:rPr>
  </w:style>
  <w:style w:type="paragraph" w:customStyle="1" w:styleId="NormalT3puce">
    <w:name w:val="Normal T3 puce"/>
    <w:basedOn w:val="Standard"/>
    <w:pPr>
      <w:tabs>
        <w:tab w:val="left" w:pos="1843"/>
      </w:tabs>
      <w:jc w:val="both"/>
    </w:pPr>
    <w:rPr>
      <w:rFonts w:ascii="Arial" w:eastAsia="Arial" w:hAnsi="Arial" w:cs="Arial"/>
      <w:lang w:val="fr-FR"/>
    </w:rPr>
  </w:style>
  <w:style w:type="paragraph" w:customStyle="1" w:styleId="HeaderandFooter">
    <w:name w:val="Header and Footer"/>
    <w:basedOn w:val="Standard"/>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styleId="Textedebulles">
    <w:name w:val="Balloon Text"/>
    <w:basedOn w:val="Standard"/>
    <w:rPr>
      <w:rFonts w:ascii="Tahoma" w:eastAsia="Tahoma" w:hAnsi="Tahoma" w:cs="Tahoma"/>
      <w:sz w:val="16"/>
      <w:szCs w:val="16"/>
    </w:rPr>
  </w:style>
  <w:style w:type="paragraph" w:styleId="Paragraphedeliste">
    <w:name w:val="List Paragraph"/>
    <w:basedOn w:val="Standard"/>
    <w:pPr>
      <w:ind w:left="720"/>
    </w:pPr>
    <w:rPr>
      <w:rFonts w:ascii="Cambria" w:eastAsia="MS Mincho" w:hAnsi="Cambria" w:cs="Cambria"/>
      <w:szCs w:val="24"/>
      <w:lang w:val="fr-FR"/>
    </w:rPr>
  </w:style>
  <w:style w:type="paragraph" w:customStyle="1" w:styleId="TitreDoc">
    <w:name w:val="TitreDoc"/>
    <w:basedOn w:val="Standard"/>
    <w:pPr>
      <w:pBdr>
        <w:top w:val="single" w:sz="4" w:space="8" w:color="000000" w:shadow="1"/>
        <w:left w:val="single" w:sz="4" w:space="8" w:color="000000" w:shadow="1"/>
        <w:bottom w:val="single" w:sz="4" w:space="8" w:color="000000" w:shadow="1"/>
        <w:right w:val="single" w:sz="4" w:space="8" w:color="000000" w:shadow="1"/>
      </w:pBdr>
      <w:spacing w:before="120"/>
      <w:ind w:left="284" w:right="256"/>
      <w:jc w:val="center"/>
    </w:pPr>
    <w:rPr>
      <w:b/>
      <w:smallCaps/>
      <w:sz w:val="28"/>
      <w:lang w:val="fr-FR"/>
    </w:rPr>
  </w:style>
  <w:style w:type="paragraph" w:customStyle="1" w:styleId="Contents1">
    <w:name w:val="Contents 1"/>
    <w:basedOn w:val="Standard"/>
    <w:next w:val="Standard"/>
    <w:autoRedefine/>
    <w:pPr>
      <w:tabs>
        <w:tab w:val="right" w:leader="dot" w:pos="11303"/>
      </w:tabs>
      <w:spacing w:before="120"/>
      <w:ind w:left="1701" w:hanging="1701"/>
      <w:jc w:val="both"/>
    </w:pPr>
    <w:rPr>
      <w:szCs w:val="24"/>
      <w:lang w:val="fr-FR"/>
    </w:rPr>
  </w:style>
  <w:style w:type="paragraph" w:customStyle="1" w:styleId="premablelist">
    <w:name w:val="premablelist"/>
    <w:basedOn w:val="Standard"/>
    <w:pPr>
      <w:spacing w:before="120"/>
      <w:jc w:val="both"/>
    </w:pPr>
    <w:rPr>
      <w:lang w:val="fr-FR"/>
    </w:rPr>
  </w:style>
  <w:style w:type="paragraph" w:styleId="Commentaire">
    <w:name w:val="annotation text"/>
    <w:basedOn w:val="Standard"/>
  </w:style>
  <w:style w:type="paragraph" w:styleId="Objetducommentaire">
    <w:name w:val="annotation subject"/>
    <w:basedOn w:val="Commentaire"/>
    <w:next w:val="Commentaire"/>
    <w:rPr>
      <w:b/>
      <w:bCs/>
    </w:rPr>
  </w:style>
  <w:style w:type="paragraph" w:styleId="En-ttedetabledesmatires">
    <w:name w:val="TOC Heading"/>
    <w:basedOn w:val="Titre1"/>
    <w:next w:val="Standard"/>
    <w:pPr>
      <w:keepLines/>
      <w:spacing w:before="480" w:line="276" w:lineRule="auto"/>
      <w:jc w:val="left"/>
    </w:pPr>
    <w:rPr>
      <w:rFonts w:ascii="Cambria" w:eastAsia="Cambria" w:hAnsi="Cambria" w:cs="Cambria"/>
      <w:i/>
      <w:iCs/>
      <w:color w:val="365F91"/>
      <w:sz w:val="28"/>
      <w:szCs w:val="28"/>
    </w:rPr>
  </w:style>
  <w:style w:type="paragraph" w:customStyle="1" w:styleId="Contents2">
    <w:name w:val="Contents 2"/>
    <w:basedOn w:val="Standard"/>
    <w:next w:val="Standard"/>
    <w:autoRedefine/>
    <w:pPr>
      <w:ind w:left="200"/>
    </w:pPr>
  </w:style>
  <w:style w:type="character" w:customStyle="1" w:styleId="Internetlink">
    <w:name w:val="Internet link"/>
    <w:rPr>
      <w:color w:val="0000FF"/>
      <w:u w:val="single"/>
    </w:rPr>
  </w:style>
  <w:style w:type="character" w:customStyle="1" w:styleId="TextedebullesCar">
    <w:name w:val="Texte de bulles Car"/>
    <w:rPr>
      <w:rFonts w:ascii="Tahoma" w:eastAsia="Tahoma" w:hAnsi="Tahoma" w:cs="Tahoma"/>
      <w:sz w:val="16"/>
      <w:szCs w:val="16"/>
      <w:lang w:val="en-GB"/>
    </w:rPr>
  </w:style>
  <w:style w:type="character" w:customStyle="1" w:styleId="Titre3Car">
    <w:name w:val="Titre 3 Car"/>
    <w:rPr>
      <w:sz w:val="24"/>
      <w:lang w:val="fr-FR" w:eastAsia="fr-FR" w:bidi="ar-SA"/>
    </w:rPr>
  </w:style>
  <w:style w:type="character" w:styleId="Marquedecommentaire">
    <w:name w:val="annotation reference"/>
    <w:rPr>
      <w:sz w:val="16"/>
      <w:szCs w:val="16"/>
    </w:rPr>
  </w:style>
  <w:style w:type="character" w:customStyle="1" w:styleId="apple-converted-space">
    <w:name w:val="apple-converted-space"/>
    <w:basedOn w:val="Policepardfaut"/>
  </w:style>
  <w:style w:type="character" w:customStyle="1" w:styleId="Mention1">
    <w:name w:val="Mention1"/>
    <w:basedOn w:val="Policepardfaut"/>
    <w:rPr>
      <w:color w:val="2B579A"/>
      <w:shd w:val="clear" w:color="auto" w:fill="E6E6E6"/>
    </w:rPr>
  </w:style>
  <w:style w:type="character" w:customStyle="1" w:styleId="En-tteCar">
    <w:name w:val="En-tête Car"/>
    <w:basedOn w:val="Policepardfaut"/>
    <w:rPr>
      <w:lang w:val="en-GB"/>
    </w:rPr>
  </w:style>
  <w:style w:type="character" w:customStyle="1" w:styleId="ListLabel1">
    <w:name w:val="ListLabel 1"/>
    <w:rPr>
      <w:sz w:val="16"/>
    </w:rPr>
  </w:style>
  <w:style w:type="character" w:customStyle="1" w:styleId="ListLabel2">
    <w:name w:val="ListLabel 2"/>
    <w:rPr>
      <w:sz w:val="16"/>
    </w:rPr>
  </w:style>
  <w:style w:type="character" w:customStyle="1" w:styleId="ListLabel3">
    <w:name w:val="ListLabel 3"/>
    <w:rPr>
      <w:sz w:val="16"/>
    </w:rPr>
  </w:style>
  <w:style w:type="character" w:customStyle="1" w:styleId="ListLabel4">
    <w:name w:val="ListLabel 4"/>
    <w:rPr>
      <w:sz w:val="16"/>
    </w:rPr>
  </w:style>
  <w:style w:type="character" w:customStyle="1" w:styleId="ListLabel5">
    <w:name w:val="ListLabel 5"/>
    <w:rPr>
      <w:sz w:val="16"/>
    </w:rPr>
  </w:style>
  <w:style w:type="character" w:customStyle="1" w:styleId="ListLabel6">
    <w:name w:val="ListLabel 6"/>
    <w:rPr>
      <w:sz w:val="16"/>
    </w:rPr>
  </w:style>
  <w:style w:type="character" w:customStyle="1" w:styleId="ListLabel7">
    <w:name w:val="ListLabel 7"/>
    <w:rPr>
      <w:sz w:val="16"/>
    </w:rPr>
  </w:style>
  <w:style w:type="character" w:customStyle="1" w:styleId="ListLabel8">
    <w:name w:val="ListLabel 8"/>
    <w:rPr>
      <w:b/>
      <w:i w:val="0"/>
      <w:sz w:val="22"/>
    </w:rPr>
  </w:style>
  <w:style w:type="character" w:customStyle="1" w:styleId="ListLabel9">
    <w:name w:val="ListLabel 9"/>
    <w:rPr>
      <w:b/>
      <w:i w:val="0"/>
      <w:sz w:val="22"/>
    </w:rPr>
  </w:style>
  <w:style w:type="character" w:customStyle="1" w:styleId="ListLabel10">
    <w:name w:val="ListLabel 10"/>
    <w:rPr>
      <w:rFonts w:eastAsia="Times New Roman" w:cs="Arial"/>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eastAsia="Times New Roman" w:cs="Arial"/>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eastAsia="Times New Roman" w:cs="Arial"/>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eastAsia="Times New Roman" w:cs="Arial"/>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eastAsia="Times New Roman" w:cs="Times New Roman"/>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eastAsia="Times New Roman" w:cs="Times New Roman"/>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eastAsia="Times New Roman"/>
    </w:rPr>
  </w:style>
  <w:style w:type="character" w:customStyle="1" w:styleId="ListLabel35">
    <w:name w:val="ListLabel 35"/>
    <w:rPr>
      <w:rFonts w:cs="Times New Roman"/>
      <w:b/>
    </w:rPr>
  </w:style>
  <w:style w:type="character" w:customStyle="1" w:styleId="ListLabel36">
    <w:name w:val="ListLabel 36"/>
    <w:rPr>
      <w:rFonts w:cs="Times New Roman"/>
      <w:i w:val="0"/>
      <w:sz w:val="24"/>
      <w:szCs w:val="24"/>
    </w:rPr>
  </w:style>
  <w:style w:type="character" w:customStyle="1" w:styleId="ListLabel37">
    <w:name w:val="ListLabel 37"/>
    <w:rPr>
      <w:rFonts w:cs="Times New Roman"/>
      <w:b/>
    </w:rPr>
  </w:style>
  <w:style w:type="character" w:customStyle="1" w:styleId="ListLabel38">
    <w:name w:val="ListLabel 38"/>
    <w:rPr>
      <w:rFonts w:cs="Times New Roman"/>
      <w:i w:val="0"/>
      <w:sz w:val="24"/>
      <w:szCs w:val="24"/>
    </w:rPr>
  </w:style>
  <w:style w:type="character" w:customStyle="1" w:styleId="ListLabel39">
    <w:name w:val="ListLabel 39"/>
    <w:rPr>
      <w:rFonts w:eastAsia="Times New Roman"/>
    </w:rPr>
  </w:style>
  <w:style w:type="character" w:customStyle="1" w:styleId="ListLabel40">
    <w:name w:val="ListLabel 40"/>
    <w:rPr>
      <w:rFonts w:cs="Times New Roman"/>
      <w:b/>
    </w:rPr>
  </w:style>
  <w:style w:type="character" w:customStyle="1" w:styleId="ListLabel41">
    <w:name w:val="ListLabel 41"/>
    <w:rPr>
      <w:rFonts w:cs="Times New Roman"/>
      <w:i w:val="0"/>
      <w:sz w:val="24"/>
      <w:szCs w:val="24"/>
    </w:rPr>
  </w:style>
  <w:style w:type="character" w:customStyle="1" w:styleId="ListLabel42">
    <w:name w:val="ListLabel 42"/>
    <w:rPr>
      <w:rFonts w:cs="Times New Roman"/>
      <w:b/>
    </w:rPr>
  </w:style>
  <w:style w:type="character" w:customStyle="1" w:styleId="ListLabel43">
    <w:name w:val="ListLabel 43"/>
    <w:rPr>
      <w:rFonts w:cs="Times New Roman"/>
      <w:i w:val="0"/>
      <w:sz w:val="24"/>
      <w:szCs w:val="24"/>
    </w:rPr>
  </w:style>
  <w:style w:type="character" w:customStyle="1" w:styleId="ListLabel44">
    <w:name w:val="ListLabel 44"/>
    <w:rPr>
      <w:rFonts w:cs="Times New Roman"/>
      <w:b/>
    </w:rPr>
  </w:style>
  <w:style w:type="character" w:customStyle="1" w:styleId="ListLabel45">
    <w:name w:val="ListLabel 45"/>
    <w:rPr>
      <w:rFonts w:cs="Times New Roman"/>
      <w:i w:val="0"/>
      <w:sz w:val="24"/>
      <w:szCs w:val="24"/>
    </w:rPr>
  </w:style>
  <w:style w:type="character" w:customStyle="1" w:styleId="ListLabel46">
    <w:name w:val="ListLabel 46"/>
    <w:rPr>
      <w:rFonts w:cs="Times New Roman"/>
      <w:b/>
    </w:rPr>
  </w:style>
  <w:style w:type="character" w:customStyle="1" w:styleId="ListLabel47">
    <w:name w:val="ListLabel 47"/>
    <w:rPr>
      <w:rFonts w:cs="Times New Roman"/>
      <w:i w:val="0"/>
      <w:sz w:val="24"/>
      <w:szCs w:val="24"/>
    </w:rPr>
  </w:style>
  <w:style w:type="character" w:customStyle="1" w:styleId="ListLabel48">
    <w:name w:val="ListLabel 48"/>
    <w:rPr>
      <w:rFonts w:cs="Times New Roman"/>
      <w:b/>
    </w:rPr>
  </w:style>
  <w:style w:type="character" w:customStyle="1" w:styleId="ListLabel49">
    <w:name w:val="ListLabel 49"/>
    <w:rPr>
      <w:rFonts w:cs="Times New Roman"/>
      <w:i w:val="0"/>
      <w:sz w:val="24"/>
      <w:szCs w:val="24"/>
    </w:rPr>
  </w:style>
  <w:style w:type="character" w:customStyle="1" w:styleId="ListLabel50">
    <w:name w:val="ListLabel 50"/>
    <w:rPr>
      <w:rFonts w:cs="Times New Roman"/>
      <w:b/>
    </w:rPr>
  </w:style>
  <w:style w:type="character" w:customStyle="1" w:styleId="ListLabel51">
    <w:name w:val="ListLabel 51"/>
    <w:rPr>
      <w:rFonts w:cs="Times New Roman"/>
      <w:i w:val="0"/>
      <w:sz w:val="24"/>
      <w:szCs w:val="24"/>
    </w:rPr>
  </w:style>
  <w:style w:type="character" w:customStyle="1" w:styleId="ListLabel52">
    <w:name w:val="ListLabel 52"/>
    <w:rPr>
      <w:rFonts w:eastAsia="Wingdings" w:cs="Wingdings"/>
      <w:w w:val="100"/>
      <w:sz w:val="22"/>
      <w:szCs w:val="22"/>
    </w:rPr>
  </w:style>
  <w:style w:type="character" w:customStyle="1" w:styleId="ListLabel53">
    <w:name w:val="ListLabel 53"/>
    <w:rPr>
      <w:rFonts w:eastAsia="Courier New" w:cs="Courier New"/>
      <w:w w:val="100"/>
      <w:sz w:val="22"/>
      <w:szCs w:val="22"/>
    </w:rPr>
  </w:style>
  <w:style w:type="character" w:customStyle="1" w:styleId="IndexLink">
    <w:name w:val="Index Link"/>
  </w:style>
  <w:style w:type="numbering" w:customStyle="1" w:styleId="Outline">
    <w:name w:val="Outline"/>
    <w:basedOn w:val="Aucuneliste"/>
    <w:pPr>
      <w:numPr>
        <w:numId w:val="2"/>
      </w:numPr>
    </w:pPr>
  </w:style>
  <w:style w:type="numbering" w:customStyle="1" w:styleId="NoList">
    <w:name w:val="No List"/>
    <w:basedOn w:val="Aucuneliste"/>
    <w:pPr>
      <w:numPr>
        <w:numId w:val="3"/>
      </w:numPr>
    </w:pPr>
  </w:style>
  <w:style w:type="numbering" w:customStyle="1" w:styleId="WWNum1">
    <w:name w:val="WWNum1"/>
    <w:basedOn w:val="Aucuneliste"/>
    <w:pPr>
      <w:numPr>
        <w:numId w:val="4"/>
      </w:numPr>
    </w:pPr>
  </w:style>
  <w:style w:type="numbering" w:customStyle="1" w:styleId="WWNum2">
    <w:name w:val="WWNum2"/>
    <w:basedOn w:val="Aucuneliste"/>
    <w:pPr>
      <w:numPr>
        <w:numId w:val="5"/>
      </w:numPr>
    </w:pPr>
  </w:style>
  <w:style w:type="numbering" w:customStyle="1" w:styleId="WWNum3">
    <w:name w:val="WWNum3"/>
    <w:basedOn w:val="Aucuneliste"/>
    <w:pPr>
      <w:numPr>
        <w:numId w:val="6"/>
      </w:numPr>
    </w:pPr>
  </w:style>
  <w:style w:type="numbering" w:customStyle="1" w:styleId="WWNum4">
    <w:name w:val="WWNum4"/>
    <w:basedOn w:val="Aucuneliste"/>
    <w:pPr>
      <w:numPr>
        <w:numId w:val="7"/>
      </w:numPr>
    </w:pPr>
  </w:style>
  <w:style w:type="numbering" w:customStyle="1" w:styleId="WWNum5">
    <w:name w:val="WWNum5"/>
    <w:basedOn w:val="Aucuneliste"/>
    <w:pPr>
      <w:numPr>
        <w:numId w:val="8"/>
      </w:numPr>
    </w:pPr>
  </w:style>
  <w:style w:type="numbering" w:customStyle="1" w:styleId="WWNum6">
    <w:name w:val="WWNum6"/>
    <w:basedOn w:val="Aucuneliste"/>
    <w:pPr>
      <w:numPr>
        <w:numId w:val="9"/>
      </w:numPr>
    </w:pPr>
  </w:style>
  <w:style w:type="numbering" w:customStyle="1" w:styleId="WWNum7">
    <w:name w:val="WWNum7"/>
    <w:basedOn w:val="Aucuneliste"/>
    <w:pPr>
      <w:numPr>
        <w:numId w:val="10"/>
      </w:numPr>
    </w:pPr>
  </w:style>
  <w:style w:type="numbering" w:customStyle="1" w:styleId="WWNum8">
    <w:name w:val="WWNum8"/>
    <w:basedOn w:val="Aucuneliste"/>
    <w:pPr>
      <w:numPr>
        <w:numId w:val="11"/>
      </w:numPr>
    </w:pPr>
  </w:style>
  <w:style w:type="numbering" w:customStyle="1" w:styleId="WWNum9">
    <w:name w:val="WWNum9"/>
    <w:basedOn w:val="Aucuneliste"/>
    <w:pPr>
      <w:numPr>
        <w:numId w:val="12"/>
      </w:numPr>
    </w:pPr>
  </w:style>
  <w:style w:type="numbering" w:customStyle="1" w:styleId="WWNum10">
    <w:name w:val="WWNum10"/>
    <w:basedOn w:val="Aucuneliste"/>
    <w:pPr>
      <w:numPr>
        <w:numId w:val="13"/>
      </w:numPr>
    </w:pPr>
  </w:style>
  <w:style w:type="numbering" w:customStyle="1" w:styleId="WWNum11">
    <w:name w:val="WWNum11"/>
    <w:basedOn w:val="Aucuneliste"/>
    <w:pPr>
      <w:numPr>
        <w:numId w:val="14"/>
      </w:numPr>
    </w:pPr>
  </w:style>
  <w:style w:type="numbering" w:customStyle="1" w:styleId="WWNum12">
    <w:name w:val="WWNum12"/>
    <w:basedOn w:val="Aucuneliste"/>
    <w:pPr>
      <w:numPr>
        <w:numId w:val="15"/>
      </w:numPr>
    </w:pPr>
  </w:style>
  <w:style w:type="numbering" w:customStyle="1" w:styleId="WWNum13">
    <w:name w:val="WWNum13"/>
    <w:basedOn w:val="Aucuneliste"/>
    <w:pPr>
      <w:numPr>
        <w:numId w:val="16"/>
      </w:numPr>
    </w:pPr>
  </w:style>
  <w:style w:type="numbering" w:customStyle="1" w:styleId="WWNum14">
    <w:name w:val="WWNum14"/>
    <w:basedOn w:val="Aucuneliste"/>
    <w:pPr>
      <w:numPr>
        <w:numId w:val="17"/>
      </w:numPr>
    </w:pPr>
  </w:style>
  <w:style w:type="numbering" w:customStyle="1" w:styleId="WWNum15">
    <w:name w:val="WWNum15"/>
    <w:basedOn w:val="Aucuneliste"/>
    <w:pPr>
      <w:numPr>
        <w:numId w:val="18"/>
      </w:numPr>
    </w:pPr>
  </w:style>
  <w:style w:type="numbering" w:customStyle="1" w:styleId="WWNum16">
    <w:name w:val="WWNum16"/>
    <w:basedOn w:val="Aucuneliste"/>
    <w:pPr>
      <w:numPr>
        <w:numId w:val="19"/>
      </w:numPr>
    </w:pPr>
  </w:style>
  <w:style w:type="numbering" w:customStyle="1" w:styleId="WWNum17">
    <w:name w:val="WWNum17"/>
    <w:basedOn w:val="Aucuneliste"/>
    <w:pPr>
      <w:numPr>
        <w:numId w:val="20"/>
      </w:numPr>
    </w:pPr>
  </w:style>
  <w:style w:type="numbering" w:customStyle="1" w:styleId="WWNum18">
    <w:name w:val="WWNum18"/>
    <w:basedOn w:val="Aucuneliste"/>
    <w:pPr>
      <w:numPr>
        <w:numId w:val="21"/>
      </w:numPr>
    </w:pPr>
  </w:style>
  <w:style w:type="numbering" w:customStyle="1" w:styleId="WWNum19">
    <w:name w:val="WWNum19"/>
    <w:basedOn w:val="Aucuneliste"/>
    <w:pPr>
      <w:numPr>
        <w:numId w:val="22"/>
      </w:numPr>
    </w:pPr>
  </w:style>
  <w:style w:type="numbering" w:customStyle="1" w:styleId="WWNum20">
    <w:name w:val="WWNum20"/>
    <w:basedOn w:val="Aucuneliste"/>
    <w:pPr>
      <w:numPr>
        <w:numId w:val="23"/>
      </w:numPr>
    </w:pPr>
  </w:style>
  <w:style w:type="numbering" w:customStyle="1" w:styleId="WWNum21">
    <w:name w:val="WWNum21"/>
    <w:basedOn w:val="Aucuneliste"/>
    <w:pPr>
      <w:numPr>
        <w:numId w:val="24"/>
      </w:numPr>
    </w:pPr>
  </w:style>
  <w:style w:type="numbering" w:customStyle="1" w:styleId="WWNum22">
    <w:name w:val="WWNum22"/>
    <w:basedOn w:val="Aucuneliste"/>
    <w:pPr>
      <w:numPr>
        <w:numId w:val="25"/>
      </w:numPr>
    </w:pPr>
  </w:style>
  <w:style w:type="numbering" w:customStyle="1" w:styleId="WWNum23">
    <w:name w:val="WWNum23"/>
    <w:basedOn w:val="Aucuneliste"/>
    <w:pPr>
      <w:numPr>
        <w:numId w:val="26"/>
      </w:numPr>
    </w:pPr>
  </w:style>
  <w:style w:type="numbering" w:customStyle="1" w:styleId="WWNum24">
    <w:name w:val="WWNum24"/>
    <w:basedOn w:val="Aucuneliste"/>
    <w:pPr>
      <w:numPr>
        <w:numId w:val="27"/>
      </w:numPr>
    </w:pPr>
  </w:style>
  <w:style w:type="numbering" w:customStyle="1" w:styleId="WWNum25">
    <w:name w:val="WWNum25"/>
    <w:basedOn w:val="Aucuneliste"/>
    <w:pPr>
      <w:numPr>
        <w:numId w:val="28"/>
      </w:numPr>
    </w:pPr>
  </w:style>
  <w:style w:type="numbering" w:customStyle="1" w:styleId="WWNum26">
    <w:name w:val="WWNum26"/>
    <w:basedOn w:val="Aucuneliste"/>
    <w:pPr>
      <w:numPr>
        <w:numId w:val="29"/>
      </w:numPr>
    </w:pPr>
  </w:style>
  <w:style w:type="numbering" w:customStyle="1" w:styleId="WWNum27">
    <w:name w:val="WWNum27"/>
    <w:basedOn w:val="Aucuneliste"/>
    <w:pPr>
      <w:numPr>
        <w:numId w:val="30"/>
      </w:numPr>
    </w:pPr>
  </w:style>
  <w:style w:type="numbering" w:customStyle="1" w:styleId="WWNum28">
    <w:name w:val="WWNum28"/>
    <w:basedOn w:val="Aucuneliste"/>
    <w:pPr>
      <w:numPr>
        <w:numId w:val="31"/>
      </w:numPr>
    </w:pPr>
  </w:style>
  <w:style w:type="numbering" w:customStyle="1" w:styleId="WWNum29">
    <w:name w:val="WWNum29"/>
    <w:basedOn w:val="Aucuneliste"/>
    <w:pPr>
      <w:numPr>
        <w:numId w:val="32"/>
      </w:numPr>
    </w:pPr>
  </w:style>
  <w:style w:type="numbering" w:customStyle="1" w:styleId="WWNum30">
    <w:name w:val="WWNum30"/>
    <w:basedOn w:val="Aucuneliste"/>
    <w:pPr>
      <w:numPr>
        <w:numId w:val="33"/>
      </w:numPr>
    </w:pPr>
  </w:style>
  <w:style w:type="numbering" w:customStyle="1" w:styleId="WWNum31">
    <w:name w:val="WWNum31"/>
    <w:basedOn w:val="Aucuneliste"/>
    <w:pPr>
      <w:numPr>
        <w:numId w:val="34"/>
      </w:numPr>
    </w:pPr>
  </w:style>
  <w:style w:type="numbering" w:customStyle="1" w:styleId="WWNum32">
    <w:name w:val="WWNum32"/>
    <w:basedOn w:val="Aucuneliste"/>
    <w:pPr>
      <w:numPr>
        <w:numId w:val="35"/>
      </w:numPr>
    </w:pPr>
  </w:style>
  <w:style w:type="numbering" w:customStyle="1" w:styleId="WWNum33">
    <w:name w:val="WWNum33"/>
    <w:basedOn w:val="Aucuneliste"/>
    <w:pPr>
      <w:numPr>
        <w:numId w:val="36"/>
      </w:numPr>
    </w:pPr>
  </w:style>
  <w:style w:type="numbering" w:customStyle="1" w:styleId="WWNum34">
    <w:name w:val="WWNum34"/>
    <w:basedOn w:val="Aucuneliste"/>
    <w:pPr>
      <w:numPr>
        <w:numId w:val="37"/>
      </w:numPr>
    </w:pPr>
  </w:style>
  <w:style w:type="numbering" w:customStyle="1" w:styleId="WWNum35">
    <w:name w:val="WWNum35"/>
    <w:basedOn w:val="Aucuneliste"/>
    <w:pPr>
      <w:numPr>
        <w:numId w:val="38"/>
      </w:numPr>
    </w:pPr>
  </w:style>
  <w:style w:type="numbering" w:customStyle="1" w:styleId="WWNum36">
    <w:name w:val="WWNum36"/>
    <w:basedOn w:val="Aucuneliste"/>
    <w:pPr>
      <w:numPr>
        <w:numId w:val="39"/>
      </w:numPr>
    </w:pPr>
  </w:style>
  <w:style w:type="numbering" w:customStyle="1" w:styleId="WWNum37">
    <w:name w:val="WWNum37"/>
    <w:basedOn w:val="Aucuneliste"/>
    <w:pPr>
      <w:numPr>
        <w:numId w:val="40"/>
      </w:numPr>
    </w:pPr>
  </w:style>
  <w:style w:type="numbering" w:customStyle="1" w:styleId="WWNum38">
    <w:name w:val="WWNum38"/>
    <w:basedOn w:val="Aucuneliste"/>
    <w:pPr>
      <w:numPr>
        <w:numId w:val="41"/>
      </w:numPr>
    </w:pPr>
  </w:style>
  <w:style w:type="numbering" w:customStyle="1" w:styleId="WWNum39">
    <w:name w:val="WWNum39"/>
    <w:basedOn w:val="Aucuneliste"/>
    <w:pPr>
      <w:numPr>
        <w:numId w:val="42"/>
      </w:numPr>
    </w:pPr>
  </w:style>
  <w:style w:type="numbering" w:customStyle="1" w:styleId="WWNum40">
    <w:name w:val="WWNum40"/>
    <w:basedOn w:val="Aucuneliste"/>
    <w:pPr>
      <w:numPr>
        <w:numId w:val="43"/>
      </w:numPr>
    </w:pPr>
  </w:style>
  <w:style w:type="numbering" w:customStyle="1" w:styleId="WWNum41">
    <w:name w:val="WWNum41"/>
    <w:basedOn w:val="Aucuneliste"/>
    <w:pPr>
      <w:numPr>
        <w:numId w:val="44"/>
      </w:numPr>
    </w:pPr>
  </w:style>
  <w:style w:type="numbering" w:customStyle="1" w:styleId="WWNum42">
    <w:name w:val="WWNum42"/>
    <w:basedOn w:val="Aucuneliste"/>
    <w:pPr>
      <w:numPr>
        <w:numId w:val="45"/>
      </w:numPr>
    </w:pPr>
  </w:style>
  <w:style w:type="numbering" w:customStyle="1" w:styleId="WWNum43">
    <w:name w:val="WWNum43"/>
    <w:basedOn w:val="Aucuneliste"/>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_Toc488074633" TargetMode="External"/><Relationship Id="rId18" Type="http://schemas.openxmlformats.org/officeDocument/2006/relationships/hyperlink" Target="#_Toc488074634" TargetMode="External"/><Relationship Id="rId26" Type="http://schemas.openxmlformats.org/officeDocument/2006/relationships/hyperlink" Target="#_Toc488074636" TargetMode="External"/><Relationship Id="rId39" Type="http://schemas.openxmlformats.org/officeDocument/2006/relationships/hyperlink" Target="#_Toc488074639" TargetMode="External"/><Relationship Id="rId21" Type="http://schemas.openxmlformats.org/officeDocument/2006/relationships/hyperlink" Target="#_Toc488074635" TargetMode="External"/><Relationship Id="rId34" Type="http://schemas.openxmlformats.org/officeDocument/2006/relationships/hyperlink" Target="#_Toc488074638" TargetMode="External"/><Relationship Id="rId42" Type="http://schemas.openxmlformats.org/officeDocument/2006/relationships/hyperlink" Target="#_Toc488074640" TargetMode="External"/><Relationship Id="rId47" Type="http://schemas.openxmlformats.org/officeDocument/2006/relationships/hyperlink" Target="#_Toc488074641" TargetMode="External"/><Relationship Id="rId50" Type="http://schemas.openxmlformats.org/officeDocument/2006/relationships/hyperlink" Target="#_Toc488074642" TargetMode="External"/><Relationship Id="rId55" Type="http://schemas.openxmlformats.org/officeDocument/2006/relationships/hyperlink" Target="#_Toc488074643" TargetMode="External"/><Relationship Id="rId63"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_Toc488074634" TargetMode="External"/><Relationship Id="rId20" Type="http://schemas.openxmlformats.org/officeDocument/2006/relationships/hyperlink" Target="#_Toc488074635" TargetMode="External"/><Relationship Id="rId29" Type="http://schemas.openxmlformats.org/officeDocument/2006/relationships/hyperlink" Target="#_Toc488074637" TargetMode="External"/><Relationship Id="rId41" Type="http://schemas.openxmlformats.org/officeDocument/2006/relationships/hyperlink" Target="#_Toc488074640" TargetMode="External"/><Relationship Id="rId54" Type="http://schemas.openxmlformats.org/officeDocument/2006/relationships/hyperlink" Target="#_Toc488074643"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488074632" TargetMode="External"/><Relationship Id="rId24" Type="http://schemas.openxmlformats.org/officeDocument/2006/relationships/hyperlink" Target="#_Toc488074636" TargetMode="External"/><Relationship Id="rId32" Type="http://schemas.openxmlformats.org/officeDocument/2006/relationships/hyperlink" Target="#_Toc488074638" TargetMode="External"/><Relationship Id="rId37" Type="http://schemas.openxmlformats.org/officeDocument/2006/relationships/hyperlink" Target="#_Toc488074639" TargetMode="External"/><Relationship Id="rId40" Type="http://schemas.openxmlformats.org/officeDocument/2006/relationships/hyperlink" Target="#_Toc488074640" TargetMode="External"/><Relationship Id="rId45" Type="http://schemas.openxmlformats.org/officeDocument/2006/relationships/hyperlink" Target="#_Toc488074641" TargetMode="External"/><Relationship Id="rId53" Type="http://schemas.openxmlformats.org/officeDocument/2006/relationships/hyperlink" Target="#_Toc488074643" TargetMode="External"/><Relationship Id="rId58" Type="http://schemas.openxmlformats.org/officeDocument/2006/relationships/hyperlink" Target="#_Toc488074644" TargetMode="External"/><Relationship Id="rId5" Type="http://schemas.openxmlformats.org/officeDocument/2006/relationships/footnotes" Target="footnotes.xml"/><Relationship Id="rId15" Type="http://schemas.openxmlformats.org/officeDocument/2006/relationships/hyperlink" Target="#_Toc488074633" TargetMode="External"/><Relationship Id="rId23" Type="http://schemas.openxmlformats.org/officeDocument/2006/relationships/hyperlink" Target="#_Toc488074635" TargetMode="External"/><Relationship Id="rId28" Type="http://schemas.openxmlformats.org/officeDocument/2006/relationships/hyperlink" Target="#_Toc488074637" TargetMode="External"/><Relationship Id="rId36" Type="http://schemas.openxmlformats.org/officeDocument/2006/relationships/hyperlink" Target="#_Toc488074639" TargetMode="External"/><Relationship Id="rId49" Type="http://schemas.openxmlformats.org/officeDocument/2006/relationships/hyperlink" Target="#_Toc488074642" TargetMode="External"/><Relationship Id="rId57" Type="http://schemas.openxmlformats.org/officeDocument/2006/relationships/hyperlink" Target="#_Toc488074644" TargetMode="External"/><Relationship Id="rId61" Type="http://schemas.openxmlformats.org/officeDocument/2006/relationships/footer" Target="footer1.xml"/><Relationship Id="rId10" Type="http://schemas.openxmlformats.org/officeDocument/2006/relationships/hyperlink" Target="#_Toc488074632" TargetMode="External"/><Relationship Id="rId19" Type="http://schemas.openxmlformats.org/officeDocument/2006/relationships/hyperlink" Target="#_Toc488074634" TargetMode="External"/><Relationship Id="rId31" Type="http://schemas.openxmlformats.org/officeDocument/2006/relationships/hyperlink" Target="#_Toc488074637" TargetMode="External"/><Relationship Id="rId44" Type="http://schemas.openxmlformats.org/officeDocument/2006/relationships/hyperlink" Target="#_Toc488074641" TargetMode="External"/><Relationship Id="rId52" Type="http://schemas.openxmlformats.org/officeDocument/2006/relationships/hyperlink" Target="#_Toc488074643"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_Toc488074632" TargetMode="External"/><Relationship Id="rId14" Type="http://schemas.openxmlformats.org/officeDocument/2006/relationships/hyperlink" Target="#_Toc488074633" TargetMode="External"/><Relationship Id="rId22" Type="http://schemas.openxmlformats.org/officeDocument/2006/relationships/hyperlink" Target="#_Toc488074635" TargetMode="External"/><Relationship Id="rId27" Type="http://schemas.openxmlformats.org/officeDocument/2006/relationships/hyperlink" Target="#_Toc488074636" TargetMode="External"/><Relationship Id="rId30" Type="http://schemas.openxmlformats.org/officeDocument/2006/relationships/hyperlink" Target="#_Toc488074637" TargetMode="External"/><Relationship Id="rId35" Type="http://schemas.openxmlformats.org/officeDocument/2006/relationships/hyperlink" Target="#_Toc488074638" TargetMode="External"/><Relationship Id="rId43" Type="http://schemas.openxmlformats.org/officeDocument/2006/relationships/hyperlink" Target="#_Toc488074640" TargetMode="External"/><Relationship Id="rId48" Type="http://schemas.openxmlformats.org/officeDocument/2006/relationships/hyperlink" Target="#_Toc488074642" TargetMode="External"/><Relationship Id="rId56" Type="http://schemas.openxmlformats.org/officeDocument/2006/relationships/hyperlink" Target="#_Toc488074644" TargetMode="External"/><Relationship Id="rId64" Type="http://schemas.openxmlformats.org/officeDocument/2006/relationships/fontTable" Target="fontTable.xml"/><Relationship Id="rId8" Type="http://schemas.openxmlformats.org/officeDocument/2006/relationships/hyperlink" Target="#_Toc488074632" TargetMode="External"/><Relationship Id="rId51" Type="http://schemas.openxmlformats.org/officeDocument/2006/relationships/hyperlink" Target="#_Toc488074642" TargetMode="External"/><Relationship Id="rId3" Type="http://schemas.openxmlformats.org/officeDocument/2006/relationships/settings" Target="settings.xml"/><Relationship Id="rId12" Type="http://schemas.openxmlformats.org/officeDocument/2006/relationships/hyperlink" Target="#_Toc488074633" TargetMode="External"/><Relationship Id="rId17" Type="http://schemas.openxmlformats.org/officeDocument/2006/relationships/hyperlink" Target="#_Toc488074634" TargetMode="External"/><Relationship Id="rId25" Type="http://schemas.openxmlformats.org/officeDocument/2006/relationships/hyperlink" Target="#_Toc488074636" TargetMode="External"/><Relationship Id="rId33" Type="http://schemas.openxmlformats.org/officeDocument/2006/relationships/hyperlink" Target="#_Toc488074638" TargetMode="External"/><Relationship Id="rId38" Type="http://schemas.openxmlformats.org/officeDocument/2006/relationships/hyperlink" Target="#_Toc488074639" TargetMode="External"/><Relationship Id="rId46" Type="http://schemas.openxmlformats.org/officeDocument/2006/relationships/hyperlink" Target="#_Toc488074641" TargetMode="External"/><Relationship Id="rId59" Type="http://schemas.openxmlformats.org/officeDocument/2006/relationships/hyperlink" Target="#_Toc48807464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rousselet@adce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3073</Words>
  <Characters>16906</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Common AMC Agreement</vt:lpstr>
    </vt:vector>
  </TitlesOfParts>
  <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AMC Agreement</dc:title>
  <dc:creator>philippe Rousselet</dc:creator>
  <cp:lastModifiedBy>Emmanuel Delattre</cp:lastModifiedBy>
  <cp:revision>2</cp:revision>
  <cp:lastPrinted>2018-12-19T15:50:00Z</cp:lastPrinted>
  <dcterms:created xsi:type="dcterms:W3CDTF">2020-05-22T13:43:00Z</dcterms:created>
  <dcterms:modified xsi:type="dcterms:W3CDTF">2020-05-22T13:43:00Z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CNA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