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D4859" w14:textId="77777777" w:rsidR="006F5B97" w:rsidRPr="005508A7" w:rsidRDefault="006F5B97" w:rsidP="003E344A">
      <w:pPr>
        <w:spacing w:before="240"/>
        <w:rPr>
          <w:b/>
          <w:szCs w:val="24"/>
          <w:lang w:val="fr-FR"/>
        </w:rPr>
      </w:pPr>
    </w:p>
    <w:p w14:paraId="7E2D3148" w14:textId="77777777" w:rsidR="006F5B97" w:rsidRPr="005508A7" w:rsidRDefault="006F5B97" w:rsidP="003E344A">
      <w:pPr>
        <w:spacing w:before="240"/>
        <w:rPr>
          <w:b/>
          <w:szCs w:val="24"/>
          <w:lang w:val="fr-FR"/>
        </w:rPr>
      </w:pPr>
    </w:p>
    <w:p w14:paraId="26C884C8" w14:textId="0AC5432E" w:rsidR="006F5B97" w:rsidRPr="005508A7" w:rsidRDefault="00EA19CA" w:rsidP="003E344A">
      <w:pPr>
        <w:spacing w:before="240"/>
        <w:rPr>
          <w:b/>
          <w:szCs w:val="24"/>
          <w:lang w:val="fr-FR"/>
        </w:rPr>
      </w:pPr>
      <w:r>
        <w:rPr>
          <w:b/>
          <w:noProof/>
          <w:szCs w:val="24"/>
          <w:lang w:val="fr-FR" w:bidi="he-IL"/>
        </w:rPr>
        <w:drawing>
          <wp:inline distT="0" distB="0" distL="0" distR="0" wp14:anchorId="4CAEEB24" wp14:editId="720A0C4A">
            <wp:extent cx="1583872" cy="89207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C multiservicestransparent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927" cy="896615"/>
                    </a:xfrm>
                    <a:prstGeom prst="rect">
                      <a:avLst/>
                    </a:prstGeom>
                  </pic:spPr>
                </pic:pic>
              </a:graphicData>
            </a:graphic>
          </wp:inline>
        </w:drawing>
      </w:r>
    </w:p>
    <w:p w14:paraId="759AAD2B" w14:textId="3094B256" w:rsidR="006F5B97" w:rsidRPr="005508A7" w:rsidRDefault="00EA19CA" w:rsidP="00EA19CA">
      <w:pPr>
        <w:tabs>
          <w:tab w:val="left" w:pos="5409"/>
        </w:tabs>
        <w:spacing w:before="240"/>
        <w:rPr>
          <w:b/>
          <w:szCs w:val="24"/>
          <w:lang w:val="fr-FR"/>
        </w:rPr>
      </w:pPr>
      <w:r>
        <w:rPr>
          <w:b/>
          <w:szCs w:val="24"/>
          <w:lang w:val="fr-FR"/>
        </w:rPr>
        <w:tab/>
      </w:r>
    </w:p>
    <w:p w14:paraId="49F23385" w14:textId="77777777" w:rsidR="006F5B97" w:rsidRPr="005508A7" w:rsidRDefault="006F5B97" w:rsidP="003E344A">
      <w:pPr>
        <w:spacing w:before="240"/>
        <w:rPr>
          <w:b/>
          <w:szCs w:val="24"/>
          <w:lang w:val="fr-FR"/>
        </w:rPr>
      </w:pPr>
    </w:p>
    <w:p w14:paraId="6BAF5A8B" w14:textId="77777777" w:rsidR="006F5B97" w:rsidRPr="005508A7" w:rsidRDefault="006F5B97" w:rsidP="003E344A">
      <w:pPr>
        <w:spacing w:before="240"/>
        <w:rPr>
          <w:b/>
          <w:szCs w:val="24"/>
          <w:lang w:val="fr-FR"/>
        </w:rPr>
      </w:pPr>
    </w:p>
    <w:p w14:paraId="41316F8C" w14:textId="77777777" w:rsidR="003E344A" w:rsidRPr="005508A7" w:rsidRDefault="003E344A" w:rsidP="003E344A">
      <w:pPr>
        <w:pStyle w:val="TitreDoc"/>
        <w:spacing w:line="480" w:lineRule="auto"/>
        <w:ind w:right="255"/>
        <w:rPr>
          <w:smallCaps w:val="0"/>
          <w:sz w:val="24"/>
          <w:szCs w:val="24"/>
        </w:rPr>
      </w:pPr>
    </w:p>
    <w:p w14:paraId="20911AD0" w14:textId="3A28277A" w:rsidR="003E344A" w:rsidRPr="005508A7" w:rsidRDefault="003E344A" w:rsidP="003E344A">
      <w:pPr>
        <w:pStyle w:val="TitreDoc"/>
        <w:spacing w:line="480" w:lineRule="auto"/>
        <w:ind w:right="255"/>
        <w:rPr>
          <w:rFonts w:ascii="Arial" w:hAnsi="Arial" w:cs="Arial"/>
          <w:smallCaps w:val="0"/>
          <w:sz w:val="32"/>
          <w:szCs w:val="32"/>
        </w:rPr>
      </w:pPr>
      <w:r w:rsidRPr="005508A7">
        <w:rPr>
          <w:rFonts w:ascii="Arial" w:hAnsi="Arial" w:cs="Arial"/>
          <w:smallCaps w:val="0"/>
          <w:sz w:val="32"/>
          <w:szCs w:val="32"/>
        </w:rPr>
        <w:t xml:space="preserve">CONVENTION </w:t>
      </w:r>
      <w:r w:rsidR="00272889" w:rsidRPr="005508A7">
        <w:rPr>
          <w:rFonts w:ascii="Arial" w:hAnsi="Arial" w:cs="Arial"/>
          <w:smallCaps w:val="0"/>
          <w:sz w:val="32"/>
          <w:szCs w:val="32"/>
        </w:rPr>
        <w:t xml:space="preserve">D’USAGE </w:t>
      </w:r>
      <w:r w:rsidR="005C5BD8">
        <w:rPr>
          <w:rFonts w:ascii="Arial" w:hAnsi="Arial" w:cs="Arial"/>
          <w:smallCaps w:val="0"/>
          <w:sz w:val="32"/>
          <w:szCs w:val="32"/>
        </w:rPr>
        <w:t xml:space="preserve">de </w:t>
      </w:r>
    </w:p>
    <w:p w14:paraId="79BE65F1" w14:textId="41A862B3" w:rsidR="00C437D3" w:rsidRPr="005508A7" w:rsidRDefault="00F52C3F" w:rsidP="00F52C3F">
      <w:pPr>
        <w:pStyle w:val="TitreDoc"/>
        <w:spacing w:line="480" w:lineRule="auto"/>
        <w:ind w:right="255"/>
        <w:jc w:val="left"/>
        <w:rPr>
          <w:rFonts w:ascii="Arial" w:hAnsi="Arial" w:cs="Arial"/>
          <w:smallCaps w:val="0"/>
          <w:sz w:val="32"/>
          <w:szCs w:val="32"/>
        </w:rPr>
      </w:pPr>
      <w:r>
        <w:rPr>
          <w:rFonts w:ascii="Arial" w:hAnsi="Arial" w:cs="Arial"/>
          <w:smallCaps w:val="0"/>
          <w:sz w:val="32"/>
          <w:szCs w:val="32"/>
        </w:rPr>
        <w:t xml:space="preserve">        </w:t>
      </w:r>
      <w:r w:rsidR="00856928" w:rsidRPr="005508A7">
        <w:rPr>
          <w:rFonts w:ascii="Arial" w:hAnsi="Arial" w:cs="Arial"/>
          <w:smallCaps w:val="0"/>
          <w:sz w:val="32"/>
          <w:szCs w:val="32"/>
        </w:rPr>
        <w:t xml:space="preserve"> </w:t>
      </w:r>
      <w:r w:rsidRPr="005508A7">
        <w:rPr>
          <w:rFonts w:ascii="Arial" w:hAnsi="Arial" w:cs="Arial"/>
          <w:smallCaps w:val="0"/>
          <w:sz w:val="32"/>
          <w:szCs w:val="32"/>
        </w:rPr>
        <w:t>L’Application</w:t>
      </w:r>
      <w:r w:rsidR="00C93160" w:rsidRPr="005508A7">
        <w:rPr>
          <w:rFonts w:ascii="Arial" w:hAnsi="Arial" w:cs="Arial"/>
          <w:smallCaps w:val="0"/>
          <w:sz w:val="32"/>
          <w:szCs w:val="32"/>
        </w:rPr>
        <w:t xml:space="preserve"> Multiservices Citoyenne</w:t>
      </w:r>
      <w:r w:rsidR="009677F2">
        <w:rPr>
          <w:rFonts w:ascii="Arial" w:hAnsi="Arial" w:cs="Arial"/>
          <w:smallCaps w:val="0"/>
          <w:sz w:val="32"/>
          <w:szCs w:val="32"/>
        </w:rPr>
        <w:t xml:space="preserve"> C</w:t>
      </w:r>
      <w:r w:rsidR="00467CED" w:rsidRPr="005508A7">
        <w:rPr>
          <w:rFonts w:ascii="Arial" w:hAnsi="Arial" w:cs="Arial"/>
          <w:smallCaps w:val="0"/>
          <w:sz w:val="32"/>
          <w:szCs w:val="32"/>
        </w:rPr>
        <w:t xml:space="preserve">ommune </w:t>
      </w:r>
    </w:p>
    <w:p w14:paraId="1859BA3A" w14:textId="77777777" w:rsidR="00351572" w:rsidRPr="005508A7" w:rsidRDefault="00351572" w:rsidP="00A761F6">
      <w:pPr>
        <w:jc w:val="both"/>
        <w:rPr>
          <w:szCs w:val="24"/>
          <w:lang w:val="fr-FR"/>
        </w:rPr>
      </w:pPr>
    </w:p>
    <w:p w14:paraId="4549F74C" w14:textId="77777777" w:rsidR="006F5B97" w:rsidRPr="005508A7" w:rsidRDefault="006F5B97" w:rsidP="00A761F6">
      <w:pPr>
        <w:jc w:val="both"/>
        <w:rPr>
          <w:szCs w:val="24"/>
          <w:lang w:val="fr-FR"/>
        </w:rPr>
      </w:pPr>
    </w:p>
    <w:p w14:paraId="41A0E93D" w14:textId="77777777" w:rsidR="006F5B97" w:rsidRPr="005508A7" w:rsidRDefault="006F5B97" w:rsidP="00A761F6">
      <w:pPr>
        <w:jc w:val="both"/>
        <w:rPr>
          <w:szCs w:val="24"/>
          <w:lang w:val="fr-FR"/>
        </w:rPr>
      </w:pPr>
    </w:p>
    <w:p w14:paraId="55209FB4" w14:textId="77777777" w:rsidR="006F5B97" w:rsidRPr="005508A7" w:rsidRDefault="006F5B97" w:rsidP="00A761F6">
      <w:pPr>
        <w:jc w:val="both"/>
        <w:rPr>
          <w:szCs w:val="24"/>
          <w:lang w:val="fr-FR"/>
        </w:rPr>
      </w:pPr>
    </w:p>
    <w:p w14:paraId="5F9B8E5C" w14:textId="77777777" w:rsidR="006F5B97" w:rsidRPr="005508A7" w:rsidRDefault="006F5B97" w:rsidP="00A761F6">
      <w:pPr>
        <w:jc w:val="both"/>
        <w:rPr>
          <w:szCs w:val="24"/>
          <w:lang w:val="fr-FR"/>
        </w:rPr>
      </w:pPr>
    </w:p>
    <w:p w14:paraId="6DB154AF" w14:textId="77777777" w:rsidR="006F5B97" w:rsidRPr="005508A7" w:rsidRDefault="006F5B97" w:rsidP="00A761F6">
      <w:pPr>
        <w:jc w:val="both"/>
        <w:rPr>
          <w:szCs w:val="24"/>
          <w:lang w:val="fr-FR"/>
        </w:rPr>
      </w:pPr>
    </w:p>
    <w:p w14:paraId="470AA1AE" w14:textId="77777777" w:rsidR="00C437D3" w:rsidRPr="005508A7" w:rsidRDefault="00C437D3" w:rsidP="00A761F6">
      <w:pPr>
        <w:jc w:val="both"/>
        <w:rPr>
          <w:szCs w:val="24"/>
          <w:lang w:val="fr-FR"/>
        </w:rPr>
      </w:pPr>
      <w:r w:rsidRPr="005508A7">
        <w:rPr>
          <w:szCs w:val="24"/>
          <w:lang w:val="fr-FR"/>
        </w:rPr>
        <w:t>Entre</w:t>
      </w:r>
    </w:p>
    <w:p w14:paraId="7DE95D75" w14:textId="77777777" w:rsidR="00C437D3" w:rsidRPr="005508A7" w:rsidRDefault="00DE6355" w:rsidP="00DE6355">
      <w:pPr>
        <w:tabs>
          <w:tab w:val="left" w:pos="3660"/>
        </w:tabs>
        <w:jc w:val="both"/>
        <w:rPr>
          <w:szCs w:val="24"/>
          <w:lang w:val="fr-FR"/>
        </w:rPr>
      </w:pPr>
      <w:r w:rsidRPr="005508A7">
        <w:rPr>
          <w:szCs w:val="24"/>
          <w:lang w:val="fr-FR"/>
        </w:rPr>
        <w:tab/>
      </w:r>
    </w:p>
    <w:p w14:paraId="7CB35C1E" w14:textId="77777777" w:rsidR="00C437D3" w:rsidRPr="005508A7" w:rsidRDefault="00C93160" w:rsidP="00A761F6">
      <w:pPr>
        <w:jc w:val="both"/>
        <w:rPr>
          <w:szCs w:val="24"/>
          <w:lang w:val="fr-FR"/>
        </w:rPr>
      </w:pPr>
      <w:r w:rsidRPr="005508A7">
        <w:rPr>
          <w:szCs w:val="24"/>
          <w:lang w:val="fr-FR"/>
        </w:rPr>
        <w:t>L’ADCET</w:t>
      </w:r>
      <w:r w:rsidR="00C437D3" w:rsidRPr="005508A7">
        <w:rPr>
          <w:szCs w:val="24"/>
          <w:lang w:val="fr-FR"/>
        </w:rPr>
        <w:t>, association s</w:t>
      </w:r>
      <w:r w:rsidRPr="005508A7">
        <w:rPr>
          <w:szCs w:val="24"/>
          <w:lang w:val="fr-FR"/>
        </w:rPr>
        <w:t xml:space="preserve">ans but lucratif de droit français enregistrée au registre sous le numéro </w:t>
      </w:r>
      <w:r w:rsidR="00467CED" w:rsidRPr="005508A7">
        <w:rPr>
          <w:szCs w:val="24"/>
          <w:lang w:val="fr-FR"/>
        </w:rPr>
        <w:t>812 46 205</w:t>
      </w:r>
      <w:r w:rsidR="00C437D3" w:rsidRPr="005508A7">
        <w:rPr>
          <w:szCs w:val="24"/>
          <w:lang w:val="fr-FR"/>
        </w:rPr>
        <w:t>, i</w:t>
      </w:r>
      <w:r w:rsidRPr="005508A7">
        <w:rPr>
          <w:szCs w:val="24"/>
          <w:lang w:val="fr-FR"/>
        </w:rPr>
        <w:t xml:space="preserve">ci représentée par son secrétaire </w:t>
      </w:r>
      <w:r w:rsidR="00467CED" w:rsidRPr="005508A7">
        <w:rPr>
          <w:szCs w:val="24"/>
          <w:lang w:val="fr-FR"/>
        </w:rPr>
        <w:t>général,</w:t>
      </w:r>
      <w:r w:rsidR="00C437D3" w:rsidRPr="005508A7">
        <w:rPr>
          <w:szCs w:val="24"/>
          <w:lang w:val="fr-FR"/>
        </w:rPr>
        <w:t xml:space="preserve"> Monsieur Philippe</w:t>
      </w:r>
      <w:r w:rsidRPr="005508A7">
        <w:rPr>
          <w:szCs w:val="24"/>
          <w:lang w:val="fr-FR"/>
        </w:rPr>
        <w:t xml:space="preserve"> Rousselet</w:t>
      </w:r>
      <w:r w:rsidR="00C437D3" w:rsidRPr="005508A7">
        <w:rPr>
          <w:szCs w:val="24"/>
          <w:lang w:val="fr-FR"/>
        </w:rPr>
        <w:t xml:space="preserve">, </w:t>
      </w:r>
      <w:r w:rsidR="004A3141" w:rsidRPr="005508A7">
        <w:rPr>
          <w:szCs w:val="24"/>
          <w:lang w:val="fr-FR"/>
        </w:rPr>
        <w:t>et ci-après désignée « </w:t>
      </w:r>
      <w:r w:rsidRPr="005508A7">
        <w:rPr>
          <w:szCs w:val="24"/>
          <w:lang w:val="fr-FR"/>
        </w:rPr>
        <w:t>ADCET</w:t>
      </w:r>
      <w:r w:rsidR="004A3141" w:rsidRPr="005508A7">
        <w:rPr>
          <w:szCs w:val="24"/>
          <w:lang w:val="fr-FR"/>
        </w:rPr>
        <w:t> »,</w:t>
      </w:r>
    </w:p>
    <w:p w14:paraId="07E1EC9A" w14:textId="77777777" w:rsidR="00C437D3" w:rsidRPr="005508A7" w:rsidRDefault="00C437D3" w:rsidP="00A761F6">
      <w:pPr>
        <w:jc w:val="both"/>
        <w:rPr>
          <w:szCs w:val="24"/>
          <w:lang w:val="fr-FR"/>
        </w:rPr>
      </w:pPr>
    </w:p>
    <w:p w14:paraId="013E939C" w14:textId="77777777" w:rsidR="00C437D3" w:rsidRPr="005508A7" w:rsidRDefault="00C437D3" w:rsidP="00A761F6">
      <w:pPr>
        <w:jc w:val="both"/>
        <w:rPr>
          <w:szCs w:val="24"/>
          <w:lang w:val="fr-FR"/>
        </w:rPr>
      </w:pPr>
      <w:r w:rsidRPr="005508A7">
        <w:rPr>
          <w:szCs w:val="24"/>
          <w:lang w:val="fr-FR"/>
        </w:rPr>
        <w:t>Et</w:t>
      </w:r>
    </w:p>
    <w:p w14:paraId="58B17BF8" w14:textId="77777777" w:rsidR="00C437D3" w:rsidRPr="005508A7" w:rsidRDefault="00C437D3" w:rsidP="00A761F6">
      <w:pPr>
        <w:jc w:val="both"/>
        <w:rPr>
          <w:szCs w:val="24"/>
          <w:lang w:val="fr-FR"/>
        </w:rPr>
      </w:pPr>
    </w:p>
    <w:p w14:paraId="2BEDD10F" w14:textId="167E9577" w:rsidR="00C437D3" w:rsidRPr="005508A7" w:rsidRDefault="002740A8" w:rsidP="00A761F6">
      <w:pPr>
        <w:jc w:val="both"/>
        <w:rPr>
          <w:szCs w:val="24"/>
          <w:lang w:val="fr-FR"/>
        </w:rPr>
      </w:pPr>
      <w:r>
        <w:rPr>
          <w:szCs w:val="24"/>
          <w:lang w:val="fr-FR"/>
        </w:rPr>
        <w:t>………..</w:t>
      </w:r>
      <w:r w:rsidR="00946182">
        <w:rPr>
          <w:szCs w:val="24"/>
          <w:lang w:val="fr-FR"/>
        </w:rPr>
        <w:t xml:space="preserve"> </w:t>
      </w:r>
      <w:r w:rsidRPr="005508A7">
        <w:rPr>
          <w:szCs w:val="24"/>
          <w:lang w:val="fr-FR"/>
        </w:rPr>
        <w:t>Dont</w:t>
      </w:r>
      <w:r w:rsidR="00C437D3" w:rsidRPr="005508A7">
        <w:rPr>
          <w:szCs w:val="24"/>
          <w:lang w:val="fr-FR"/>
        </w:rPr>
        <w:t xml:space="preserve"> le siège est </w:t>
      </w:r>
      <w:r w:rsidR="00F52C3F">
        <w:rPr>
          <w:szCs w:val="24"/>
          <w:lang w:val="fr-FR"/>
        </w:rPr>
        <w:t xml:space="preserve">                                </w:t>
      </w:r>
      <w:r w:rsidR="001040BF" w:rsidRPr="005508A7">
        <w:rPr>
          <w:szCs w:val="24"/>
          <w:lang w:val="fr-FR"/>
        </w:rPr>
        <w:t xml:space="preserve">, représentée par </w:t>
      </w:r>
      <w:r w:rsidR="00F52C3F">
        <w:rPr>
          <w:szCs w:val="24"/>
          <w:lang w:val="fr-FR"/>
        </w:rPr>
        <w:t xml:space="preserve">                </w:t>
      </w:r>
      <w:r w:rsidR="007E1C06" w:rsidRPr="005508A7">
        <w:rPr>
          <w:szCs w:val="24"/>
          <w:lang w:val="fr-FR"/>
        </w:rPr>
        <w:t>,</w:t>
      </w:r>
      <w:r w:rsidR="001040BF" w:rsidRPr="005508A7">
        <w:rPr>
          <w:szCs w:val="24"/>
          <w:lang w:val="fr-FR"/>
        </w:rPr>
        <w:t xml:space="preserve"> </w:t>
      </w:r>
      <w:r w:rsidR="00A07522" w:rsidRPr="005508A7">
        <w:rPr>
          <w:szCs w:val="24"/>
          <w:lang w:val="fr-FR"/>
        </w:rPr>
        <w:t>en qualité de</w:t>
      </w:r>
      <w:r w:rsidR="007E1C06" w:rsidRPr="005508A7">
        <w:rPr>
          <w:szCs w:val="24"/>
          <w:lang w:val="fr-FR"/>
        </w:rPr>
        <w:t xml:space="preserve"> </w:t>
      </w:r>
      <w:r w:rsidR="00F52C3F">
        <w:rPr>
          <w:szCs w:val="24"/>
          <w:lang w:val="fr-FR"/>
        </w:rPr>
        <w:t xml:space="preserve">          </w:t>
      </w:r>
      <w:r w:rsidR="004A3141" w:rsidRPr="005508A7">
        <w:rPr>
          <w:szCs w:val="24"/>
          <w:lang w:val="fr-FR"/>
        </w:rPr>
        <w:t xml:space="preserve"> et</w:t>
      </w:r>
      <w:r w:rsidR="001040BF" w:rsidRPr="005508A7">
        <w:rPr>
          <w:szCs w:val="24"/>
          <w:lang w:val="fr-FR"/>
        </w:rPr>
        <w:t xml:space="preserve"> ci-après désignée </w:t>
      </w:r>
      <w:r w:rsidR="002E337A" w:rsidRPr="005508A7">
        <w:rPr>
          <w:szCs w:val="24"/>
          <w:lang w:val="fr-FR"/>
        </w:rPr>
        <w:t>« </w:t>
      </w:r>
      <w:r w:rsidR="009677F2">
        <w:rPr>
          <w:szCs w:val="24"/>
          <w:lang w:val="fr-FR"/>
        </w:rPr>
        <w:t>Entité Utilisatrice</w:t>
      </w:r>
      <w:r w:rsidR="002E337A" w:rsidRPr="005508A7">
        <w:rPr>
          <w:szCs w:val="24"/>
          <w:lang w:val="fr-FR"/>
        </w:rPr>
        <w:t> »</w:t>
      </w:r>
      <w:r w:rsidR="004A3141" w:rsidRPr="005508A7">
        <w:rPr>
          <w:szCs w:val="24"/>
          <w:lang w:val="fr-FR"/>
        </w:rPr>
        <w:t>,</w:t>
      </w:r>
    </w:p>
    <w:p w14:paraId="5D79E3F8" w14:textId="77777777" w:rsidR="009A622A" w:rsidRPr="005508A7" w:rsidRDefault="009A622A" w:rsidP="00A761F6">
      <w:pPr>
        <w:jc w:val="both"/>
        <w:rPr>
          <w:szCs w:val="24"/>
          <w:lang w:val="fr-FR"/>
        </w:rPr>
      </w:pPr>
    </w:p>
    <w:p w14:paraId="282B91CA" w14:textId="77777777" w:rsidR="00D60A13" w:rsidRPr="005508A7" w:rsidRDefault="003F018F" w:rsidP="00A761F6">
      <w:pPr>
        <w:jc w:val="both"/>
        <w:rPr>
          <w:szCs w:val="24"/>
          <w:lang w:val="fr-FR"/>
        </w:rPr>
      </w:pPr>
      <w:r w:rsidRPr="005508A7">
        <w:rPr>
          <w:szCs w:val="24"/>
          <w:lang w:val="fr-FR"/>
        </w:rPr>
        <w:t>D</w:t>
      </w:r>
      <w:r w:rsidR="009A622A" w:rsidRPr="005508A7">
        <w:rPr>
          <w:szCs w:val="24"/>
          <w:lang w:val="fr-FR"/>
        </w:rPr>
        <w:t>ésignées conjointement ci-après les « Parties »</w:t>
      </w:r>
      <w:r w:rsidR="00EE036F" w:rsidRPr="005508A7">
        <w:rPr>
          <w:szCs w:val="24"/>
          <w:lang w:val="fr-FR"/>
        </w:rPr>
        <w:t>.</w:t>
      </w:r>
    </w:p>
    <w:p w14:paraId="2A84AD0E" w14:textId="77777777" w:rsidR="00F61E39" w:rsidRPr="005508A7" w:rsidRDefault="00D60A13" w:rsidP="00D60A13">
      <w:pPr>
        <w:spacing w:before="240"/>
        <w:jc w:val="center"/>
        <w:rPr>
          <w:szCs w:val="24"/>
          <w:lang w:val="fr-FR"/>
        </w:rPr>
      </w:pPr>
      <w:r w:rsidRPr="005508A7">
        <w:rPr>
          <w:szCs w:val="24"/>
          <w:lang w:val="fr-FR"/>
        </w:rPr>
        <w:br w:type="page"/>
      </w:r>
    </w:p>
    <w:p w14:paraId="3EEFAE2E" w14:textId="77777777" w:rsidR="00F61E39" w:rsidRPr="005508A7" w:rsidRDefault="00F61E39" w:rsidP="00D60A13">
      <w:pPr>
        <w:spacing w:before="240"/>
        <w:jc w:val="center"/>
        <w:rPr>
          <w:szCs w:val="24"/>
          <w:lang w:val="fr-FR"/>
        </w:rPr>
      </w:pPr>
    </w:p>
    <w:p w14:paraId="0BF9E81E" w14:textId="77777777" w:rsidR="00A01BEC" w:rsidRPr="005508A7" w:rsidRDefault="00A01BEC" w:rsidP="00A01BEC">
      <w:pPr>
        <w:spacing w:before="240"/>
        <w:jc w:val="center"/>
        <w:rPr>
          <w:b/>
          <w:sz w:val="32"/>
          <w:szCs w:val="32"/>
          <w:lang w:val="fr-FR"/>
        </w:rPr>
      </w:pPr>
      <w:r w:rsidRPr="005508A7">
        <w:rPr>
          <w:b/>
          <w:smallCaps/>
          <w:sz w:val="32"/>
          <w:szCs w:val="32"/>
          <w:lang w:val="fr-FR"/>
        </w:rPr>
        <w:t>Table des articles</w:t>
      </w:r>
    </w:p>
    <w:p w14:paraId="0D4A6C5E" w14:textId="77777777" w:rsidR="00D60A13" w:rsidRPr="005508A7" w:rsidRDefault="00D60A13" w:rsidP="00D60A13">
      <w:pPr>
        <w:rPr>
          <w:szCs w:val="24"/>
          <w:lang w:val="fr-FR"/>
        </w:rPr>
      </w:pPr>
    </w:p>
    <w:p w14:paraId="7B2BFEBA" w14:textId="77777777" w:rsidR="00FB0747" w:rsidRPr="005508A7" w:rsidRDefault="00FB0747" w:rsidP="00D60A13">
      <w:pPr>
        <w:rPr>
          <w:szCs w:val="24"/>
          <w:lang w:val="fr-FR"/>
        </w:rPr>
      </w:pPr>
    </w:p>
    <w:p w14:paraId="61D828B1" w14:textId="77777777" w:rsidR="00AF3B73" w:rsidRPr="005508A7" w:rsidRDefault="00AF3B73" w:rsidP="00D60A13">
      <w:pPr>
        <w:rPr>
          <w:szCs w:val="24"/>
          <w:lang w:val="fr-FR"/>
        </w:rPr>
      </w:pPr>
    </w:p>
    <w:p w14:paraId="3C9E09B5" w14:textId="77777777" w:rsidR="009268D1" w:rsidRPr="005508A7" w:rsidRDefault="009268D1" w:rsidP="00D60A13">
      <w:pPr>
        <w:rPr>
          <w:szCs w:val="24"/>
          <w:lang w:val="fr-FR"/>
        </w:rPr>
      </w:pPr>
    </w:p>
    <w:p w14:paraId="6A341B79" w14:textId="3E23235B" w:rsidR="009245E0" w:rsidRDefault="0060247C">
      <w:pPr>
        <w:pStyle w:val="TM1"/>
        <w:rPr>
          <w:rFonts w:asciiTheme="minorHAnsi" w:eastAsiaTheme="minorEastAsia" w:hAnsiTheme="minorHAnsi" w:cstheme="minorBidi"/>
          <w:sz w:val="22"/>
          <w:szCs w:val="22"/>
        </w:rPr>
      </w:pPr>
      <w:r w:rsidRPr="005508A7">
        <w:rPr>
          <w:noProof w:val="0"/>
          <w:highlight w:val="yellow"/>
        </w:rPr>
        <w:fldChar w:fldCharType="begin"/>
      </w:r>
      <w:r w:rsidR="009268D1" w:rsidRPr="005508A7">
        <w:rPr>
          <w:noProof w:val="0"/>
          <w:highlight w:val="yellow"/>
        </w:rPr>
        <w:instrText xml:space="preserve"> TOC \o "1-1" \h \z \u </w:instrText>
      </w:r>
      <w:r w:rsidRPr="005508A7">
        <w:rPr>
          <w:noProof w:val="0"/>
          <w:highlight w:val="yellow"/>
        </w:rPr>
        <w:fldChar w:fldCharType="separate"/>
      </w:r>
      <w:hyperlink w:anchor="_Toc488074632" w:history="1">
        <w:r w:rsidR="009245E0" w:rsidRPr="00E07F76">
          <w:rPr>
            <w:rStyle w:val="Lienhypertexte"/>
          </w:rPr>
          <w:t>Article 1.</w:t>
        </w:r>
        <w:r w:rsidR="009245E0">
          <w:rPr>
            <w:rFonts w:asciiTheme="minorHAnsi" w:eastAsiaTheme="minorEastAsia" w:hAnsiTheme="minorHAnsi" w:cstheme="minorBidi"/>
            <w:sz w:val="22"/>
            <w:szCs w:val="22"/>
          </w:rPr>
          <w:tab/>
        </w:r>
        <w:r w:rsidR="009245E0" w:rsidRPr="00E07F76">
          <w:rPr>
            <w:rStyle w:val="Lienhypertexte"/>
          </w:rPr>
          <w:t>Définitions</w:t>
        </w:r>
        <w:r w:rsidR="009245E0">
          <w:rPr>
            <w:webHidden/>
          </w:rPr>
          <w:tab/>
        </w:r>
        <w:r w:rsidR="009245E0">
          <w:rPr>
            <w:webHidden/>
          </w:rPr>
          <w:fldChar w:fldCharType="begin"/>
        </w:r>
        <w:r w:rsidR="009245E0">
          <w:rPr>
            <w:webHidden/>
          </w:rPr>
          <w:instrText xml:space="preserve"> PAGEREF _Toc488074632 \h </w:instrText>
        </w:r>
        <w:r w:rsidR="009245E0">
          <w:rPr>
            <w:webHidden/>
          </w:rPr>
        </w:r>
        <w:r w:rsidR="009245E0">
          <w:rPr>
            <w:webHidden/>
          </w:rPr>
          <w:fldChar w:fldCharType="separate"/>
        </w:r>
        <w:r w:rsidR="0009095E">
          <w:rPr>
            <w:webHidden/>
          </w:rPr>
          <w:t>3</w:t>
        </w:r>
        <w:r w:rsidR="009245E0">
          <w:rPr>
            <w:webHidden/>
          </w:rPr>
          <w:fldChar w:fldCharType="end"/>
        </w:r>
      </w:hyperlink>
    </w:p>
    <w:p w14:paraId="6C0ED0A3" w14:textId="6828145B" w:rsidR="009245E0" w:rsidRDefault="00B97F7E">
      <w:pPr>
        <w:pStyle w:val="TM1"/>
        <w:rPr>
          <w:rFonts w:asciiTheme="minorHAnsi" w:eastAsiaTheme="minorEastAsia" w:hAnsiTheme="minorHAnsi" w:cstheme="minorBidi"/>
          <w:sz w:val="22"/>
          <w:szCs w:val="22"/>
        </w:rPr>
      </w:pPr>
      <w:hyperlink w:anchor="_Toc488074633" w:history="1">
        <w:r w:rsidR="009245E0" w:rsidRPr="00E07F76">
          <w:rPr>
            <w:rStyle w:val="Lienhypertexte"/>
          </w:rPr>
          <w:t>Article 2.</w:t>
        </w:r>
        <w:r w:rsidR="009245E0">
          <w:rPr>
            <w:rFonts w:asciiTheme="minorHAnsi" w:eastAsiaTheme="minorEastAsia" w:hAnsiTheme="minorHAnsi" w:cstheme="minorBidi"/>
            <w:sz w:val="22"/>
            <w:szCs w:val="22"/>
          </w:rPr>
          <w:tab/>
        </w:r>
        <w:r w:rsidR="009245E0" w:rsidRPr="00E07F76">
          <w:rPr>
            <w:rStyle w:val="Lienhypertexte"/>
          </w:rPr>
          <w:t>Objet de la convention</w:t>
        </w:r>
        <w:r w:rsidR="009245E0">
          <w:rPr>
            <w:webHidden/>
          </w:rPr>
          <w:tab/>
        </w:r>
        <w:r w:rsidR="009245E0">
          <w:rPr>
            <w:webHidden/>
          </w:rPr>
          <w:fldChar w:fldCharType="begin"/>
        </w:r>
        <w:r w:rsidR="009245E0">
          <w:rPr>
            <w:webHidden/>
          </w:rPr>
          <w:instrText xml:space="preserve"> PAGEREF _Toc488074633 \h </w:instrText>
        </w:r>
        <w:r w:rsidR="009245E0">
          <w:rPr>
            <w:webHidden/>
          </w:rPr>
        </w:r>
        <w:r w:rsidR="009245E0">
          <w:rPr>
            <w:webHidden/>
          </w:rPr>
          <w:fldChar w:fldCharType="separate"/>
        </w:r>
        <w:r w:rsidR="0009095E">
          <w:rPr>
            <w:webHidden/>
          </w:rPr>
          <w:t>4</w:t>
        </w:r>
        <w:r w:rsidR="009245E0">
          <w:rPr>
            <w:webHidden/>
          </w:rPr>
          <w:fldChar w:fldCharType="end"/>
        </w:r>
      </w:hyperlink>
    </w:p>
    <w:p w14:paraId="0F66FBB2" w14:textId="2D3E200C" w:rsidR="009245E0" w:rsidRDefault="00B97F7E">
      <w:pPr>
        <w:pStyle w:val="TM1"/>
        <w:rPr>
          <w:rFonts w:asciiTheme="minorHAnsi" w:eastAsiaTheme="minorEastAsia" w:hAnsiTheme="minorHAnsi" w:cstheme="minorBidi"/>
          <w:sz w:val="22"/>
          <w:szCs w:val="22"/>
        </w:rPr>
      </w:pPr>
      <w:hyperlink w:anchor="_Toc488074634" w:history="1">
        <w:r w:rsidR="009245E0" w:rsidRPr="00E07F76">
          <w:rPr>
            <w:rStyle w:val="Lienhypertexte"/>
          </w:rPr>
          <w:t>Article 3.</w:t>
        </w:r>
        <w:r w:rsidR="009245E0">
          <w:rPr>
            <w:rFonts w:asciiTheme="minorHAnsi" w:eastAsiaTheme="minorEastAsia" w:hAnsiTheme="minorHAnsi" w:cstheme="minorBidi"/>
            <w:sz w:val="22"/>
            <w:szCs w:val="22"/>
          </w:rPr>
          <w:tab/>
        </w:r>
        <w:r w:rsidR="009245E0" w:rsidRPr="00E07F76">
          <w:rPr>
            <w:rStyle w:val="Lienhypertexte"/>
          </w:rPr>
          <w:t>Convention à titre gratuit</w:t>
        </w:r>
        <w:r w:rsidR="009245E0">
          <w:rPr>
            <w:webHidden/>
          </w:rPr>
          <w:tab/>
        </w:r>
        <w:r w:rsidR="009245E0">
          <w:rPr>
            <w:webHidden/>
          </w:rPr>
          <w:fldChar w:fldCharType="begin"/>
        </w:r>
        <w:r w:rsidR="009245E0">
          <w:rPr>
            <w:webHidden/>
          </w:rPr>
          <w:instrText xml:space="preserve"> PAGEREF _Toc488074634 \h </w:instrText>
        </w:r>
        <w:r w:rsidR="009245E0">
          <w:rPr>
            <w:webHidden/>
          </w:rPr>
        </w:r>
        <w:r w:rsidR="009245E0">
          <w:rPr>
            <w:webHidden/>
          </w:rPr>
          <w:fldChar w:fldCharType="separate"/>
        </w:r>
        <w:r w:rsidR="0009095E">
          <w:rPr>
            <w:webHidden/>
          </w:rPr>
          <w:t>5</w:t>
        </w:r>
        <w:r w:rsidR="009245E0">
          <w:rPr>
            <w:webHidden/>
          </w:rPr>
          <w:fldChar w:fldCharType="end"/>
        </w:r>
      </w:hyperlink>
    </w:p>
    <w:p w14:paraId="7CD2A684" w14:textId="5BC5EE7D" w:rsidR="009245E0" w:rsidRDefault="00B97F7E">
      <w:pPr>
        <w:pStyle w:val="TM1"/>
        <w:rPr>
          <w:rFonts w:asciiTheme="minorHAnsi" w:eastAsiaTheme="minorEastAsia" w:hAnsiTheme="minorHAnsi" w:cstheme="minorBidi"/>
          <w:sz w:val="22"/>
          <w:szCs w:val="22"/>
        </w:rPr>
      </w:pPr>
      <w:hyperlink w:anchor="_Toc488074635" w:history="1">
        <w:r w:rsidR="009245E0" w:rsidRPr="00E07F76">
          <w:rPr>
            <w:rStyle w:val="Lienhypertexte"/>
          </w:rPr>
          <w:t>Article 4.</w:t>
        </w:r>
        <w:r w:rsidR="009245E0">
          <w:rPr>
            <w:rFonts w:asciiTheme="minorHAnsi" w:eastAsiaTheme="minorEastAsia" w:hAnsiTheme="minorHAnsi" w:cstheme="minorBidi"/>
            <w:sz w:val="22"/>
            <w:szCs w:val="22"/>
          </w:rPr>
          <w:tab/>
        </w:r>
        <w:r w:rsidR="009245E0" w:rsidRPr="00E07F76">
          <w:rPr>
            <w:rStyle w:val="Lienhypertexte"/>
          </w:rPr>
          <w:t>Obligations de l’Entité Utilisatrice</w:t>
        </w:r>
        <w:r w:rsidR="009245E0">
          <w:rPr>
            <w:webHidden/>
          </w:rPr>
          <w:tab/>
        </w:r>
        <w:r w:rsidR="009245E0">
          <w:rPr>
            <w:webHidden/>
          </w:rPr>
          <w:fldChar w:fldCharType="begin"/>
        </w:r>
        <w:r w:rsidR="009245E0">
          <w:rPr>
            <w:webHidden/>
          </w:rPr>
          <w:instrText xml:space="preserve"> PAGEREF _Toc488074635 \h </w:instrText>
        </w:r>
        <w:r w:rsidR="009245E0">
          <w:rPr>
            <w:webHidden/>
          </w:rPr>
        </w:r>
        <w:r w:rsidR="009245E0">
          <w:rPr>
            <w:webHidden/>
          </w:rPr>
          <w:fldChar w:fldCharType="separate"/>
        </w:r>
        <w:r w:rsidR="0009095E">
          <w:rPr>
            <w:webHidden/>
          </w:rPr>
          <w:t>5</w:t>
        </w:r>
        <w:r w:rsidR="009245E0">
          <w:rPr>
            <w:webHidden/>
          </w:rPr>
          <w:fldChar w:fldCharType="end"/>
        </w:r>
      </w:hyperlink>
    </w:p>
    <w:p w14:paraId="384B0167" w14:textId="6775004A" w:rsidR="009245E0" w:rsidRDefault="00B97F7E">
      <w:pPr>
        <w:pStyle w:val="TM1"/>
        <w:rPr>
          <w:rFonts w:asciiTheme="minorHAnsi" w:eastAsiaTheme="minorEastAsia" w:hAnsiTheme="minorHAnsi" w:cstheme="minorBidi"/>
          <w:sz w:val="22"/>
          <w:szCs w:val="22"/>
        </w:rPr>
      </w:pPr>
      <w:hyperlink w:anchor="_Toc488074636" w:history="1">
        <w:r w:rsidR="009245E0" w:rsidRPr="00E07F76">
          <w:rPr>
            <w:rStyle w:val="Lienhypertexte"/>
          </w:rPr>
          <w:t>Article 5.</w:t>
        </w:r>
        <w:r w:rsidR="009245E0">
          <w:rPr>
            <w:rFonts w:asciiTheme="minorHAnsi" w:eastAsiaTheme="minorEastAsia" w:hAnsiTheme="minorHAnsi" w:cstheme="minorBidi"/>
            <w:sz w:val="22"/>
            <w:szCs w:val="22"/>
          </w:rPr>
          <w:tab/>
        </w:r>
        <w:r w:rsidR="009245E0" w:rsidRPr="00E07F76">
          <w:rPr>
            <w:rStyle w:val="Lienhypertexte"/>
          </w:rPr>
          <w:t>Obligations de ADCET</w:t>
        </w:r>
        <w:r w:rsidR="009245E0">
          <w:rPr>
            <w:webHidden/>
          </w:rPr>
          <w:tab/>
        </w:r>
        <w:r w:rsidR="009245E0">
          <w:rPr>
            <w:webHidden/>
          </w:rPr>
          <w:fldChar w:fldCharType="begin"/>
        </w:r>
        <w:r w:rsidR="009245E0">
          <w:rPr>
            <w:webHidden/>
          </w:rPr>
          <w:instrText xml:space="preserve"> PAGEREF _Toc488074636 \h </w:instrText>
        </w:r>
        <w:r w:rsidR="009245E0">
          <w:rPr>
            <w:webHidden/>
          </w:rPr>
        </w:r>
        <w:r w:rsidR="009245E0">
          <w:rPr>
            <w:webHidden/>
          </w:rPr>
          <w:fldChar w:fldCharType="separate"/>
        </w:r>
        <w:r w:rsidR="0009095E">
          <w:rPr>
            <w:webHidden/>
          </w:rPr>
          <w:t>5</w:t>
        </w:r>
        <w:r w:rsidR="009245E0">
          <w:rPr>
            <w:webHidden/>
          </w:rPr>
          <w:fldChar w:fldCharType="end"/>
        </w:r>
      </w:hyperlink>
    </w:p>
    <w:p w14:paraId="3081922D" w14:textId="2014EFD1" w:rsidR="009245E0" w:rsidRDefault="00B97F7E">
      <w:pPr>
        <w:pStyle w:val="TM1"/>
        <w:rPr>
          <w:rFonts w:asciiTheme="minorHAnsi" w:eastAsiaTheme="minorEastAsia" w:hAnsiTheme="minorHAnsi" w:cstheme="minorBidi"/>
          <w:sz w:val="22"/>
          <w:szCs w:val="22"/>
        </w:rPr>
      </w:pPr>
      <w:hyperlink w:anchor="_Toc488074637" w:history="1">
        <w:r w:rsidR="009245E0" w:rsidRPr="00E07F76">
          <w:rPr>
            <w:rStyle w:val="Lienhypertexte"/>
          </w:rPr>
          <w:t>Article 6.</w:t>
        </w:r>
        <w:r w:rsidR="009245E0">
          <w:rPr>
            <w:rFonts w:asciiTheme="minorHAnsi" w:eastAsiaTheme="minorEastAsia" w:hAnsiTheme="minorHAnsi" w:cstheme="minorBidi"/>
            <w:sz w:val="22"/>
            <w:szCs w:val="22"/>
          </w:rPr>
          <w:tab/>
        </w:r>
        <w:r w:rsidR="009245E0" w:rsidRPr="00E07F76">
          <w:rPr>
            <w:rStyle w:val="Lienhypertexte"/>
          </w:rPr>
          <w:t>Responsabilités</w:t>
        </w:r>
        <w:r w:rsidR="009245E0">
          <w:rPr>
            <w:webHidden/>
          </w:rPr>
          <w:tab/>
        </w:r>
        <w:r w:rsidR="009245E0">
          <w:rPr>
            <w:webHidden/>
          </w:rPr>
          <w:fldChar w:fldCharType="begin"/>
        </w:r>
        <w:r w:rsidR="009245E0">
          <w:rPr>
            <w:webHidden/>
          </w:rPr>
          <w:instrText xml:space="preserve"> PAGEREF _Toc488074637 \h </w:instrText>
        </w:r>
        <w:r w:rsidR="009245E0">
          <w:rPr>
            <w:webHidden/>
          </w:rPr>
        </w:r>
        <w:r w:rsidR="009245E0">
          <w:rPr>
            <w:webHidden/>
          </w:rPr>
          <w:fldChar w:fldCharType="separate"/>
        </w:r>
        <w:r w:rsidR="0009095E">
          <w:rPr>
            <w:webHidden/>
          </w:rPr>
          <w:t>6</w:t>
        </w:r>
        <w:r w:rsidR="009245E0">
          <w:rPr>
            <w:webHidden/>
          </w:rPr>
          <w:fldChar w:fldCharType="end"/>
        </w:r>
      </w:hyperlink>
    </w:p>
    <w:p w14:paraId="75D1A64E" w14:textId="79F9CABB" w:rsidR="009245E0" w:rsidRDefault="00B97F7E">
      <w:pPr>
        <w:pStyle w:val="TM1"/>
        <w:rPr>
          <w:rFonts w:asciiTheme="minorHAnsi" w:eastAsiaTheme="minorEastAsia" w:hAnsiTheme="minorHAnsi" w:cstheme="minorBidi"/>
          <w:sz w:val="22"/>
          <w:szCs w:val="22"/>
        </w:rPr>
      </w:pPr>
      <w:hyperlink w:anchor="_Toc488074638" w:history="1">
        <w:r w:rsidR="009245E0" w:rsidRPr="00E07F76">
          <w:rPr>
            <w:rStyle w:val="Lienhypertexte"/>
          </w:rPr>
          <w:t>Article 7.</w:t>
        </w:r>
        <w:r w:rsidR="009245E0">
          <w:rPr>
            <w:rFonts w:asciiTheme="minorHAnsi" w:eastAsiaTheme="minorEastAsia" w:hAnsiTheme="minorHAnsi" w:cstheme="minorBidi"/>
            <w:sz w:val="22"/>
            <w:szCs w:val="22"/>
          </w:rPr>
          <w:tab/>
        </w:r>
        <w:r w:rsidR="009245E0" w:rsidRPr="00E07F76">
          <w:rPr>
            <w:rStyle w:val="Lienhypertexte"/>
          </w:rPr>
          <w:t>Confidentialité</w:t>
        </w:r>
        <w:r w:rsidR="009245E0">
          <w:rPr>
            <w:webHidden/>
          </w:rPr>
          <w:tab/>
        </w:r>
        <w:r w:rsidR="009245E0">
          <w:rPr>
            <w:webHidden/>
          </w:rPr>
          <w:fldChar w:fldCharType="begin"/>
        </w:r>
        <w:r w:rsidR="009245E0">
          <w:rPr>
            <w:webHidden/>
          </w:rPr>
          <w:instrText xml:space="preserve"> PAGEREF _Toc488074638 \h </w:instrText>
        </w:r>
        <w:r w:rsidR="009245E0">
          <w:rPr>
            <w:webHidden/>
          </w:rPr>
        </w:r>
        <w:r w:rsidR="009245E0">
          <w:rPr>
            <w:webHidden/>
          </w:rPr>
          <w:fldChar w:fldCharType="separate"/>
        </w:r>
        <w:r w:rsidR="0009095E">
          <w:rPr>
            <w:webHidden/>
          </w:rPr>
          <w:t>6</w:t>
        </w:r>
        <w:r w:rsidR="009245E0">
          <w:rPr>
            <w:webHidden/>
          </w:rPr>
          <w:fldChar w:fldCharType="end"/>
        </w:r>
      </w:hyperlink>
    </w:p>
    <w:p w14:paraId="06E5F600" w14:textId="757DB41E" w:rsidR="009245E0" w:rsidRDefault="00B97F7E">
      <w:pPr>
        <w:pStyle w:val="TM1"/>
        <w:rPr>
          <w:rFonts w:asciiTheme="minorHAnsi" w:eastAsiaTheme="minorEastAsia" w:hAnsiTheme="minorHAnsi" w:cstheme="minorBidi"/>
          <w:sz w:val="22"/>
          <w:szCs w:val="22"/>
        </w:rPr>
      </w:pPr>
      <w:hyperlink w:anchor="_Toc488074639" w:history="1">
        <w:r w:rsidR="009245E0" w:rsidRPr="00E07F76">
          <w:rPr>
            <w:rStyle w:val="Lienhypertexte"/>
          </w:rPr>
          <w:t>Article 8.</w:t>
        </w:r>
        <w:r w:rsidR="009245E0">
          <w:rPr>
            <w:rFonts w:asciiTheme="minorHAnsi" w:eastAsiaTheme="minorEastAsia" w:hAnsiTheme="minorHAnsi" w:cstheme="minorBidi"/>
            <w:sz w:val="22"/>
            <w:szCs w:val="22"/>
          </w:rPr>
          <w:tab/>
        </w:r>
        <w:r w:rsidR="009245E0" w:rsidRPr="00E07F76">
          <w:rPr>
            <w:rStyle w:val="Lienhypertexte"/>
          </w:rPr>
          <w:t>Propriété</w:t>
        </w:r>
        <w:r w:rsidR="009245E0">
          <w:rPr>
            <w:webHidden/>
          </w:rPr>
          <w:tab/>
        </w:r>
        <w:r w:rsidR="009245E0">
          <w:rPr>
            <w:webHidden/>
          </w:rPr>
          <w:fldChar w:fldCharType="begin"/>
        </w:r>
        <w:r w:rsidR="009245E0">
          <w:rPr>
            <w:webHidden/>
          </w:rPr>
          <w:instrText xml:space="preserve"> PAGEREF _Toc488074639 \h </w:instrText>
        </w:r>
        <w:r w:rsidR="009245E0">
          <w:rPr>
            <w:webHidden/>
          </w:rPr>
        </w:r>
        <w:r w:rsidR="009245E0">
          <w:rPr>
            <w:webHidden/>
          </w:rPr>
          <w:fldChar w:fldCharType="separate"/>
        </w:r>
        <w:r w:rsidR="0009095E">
          <w:rPr>
            <w:webHidden/>
          </w:rPr>
          <w:t>7</w:t>
        </w:r>
        <w:r w:rsidR="009245E0">
          <w:rPr>
            <w:webHidden/>
          </w:rPr>
          <w:fldChar w:fldCharType="end"/>
        </w:r>
      </w:hyperlink>
    </w:p>
    <w:p w14:paraId="3F1B14A0" w14:textId="5FABD2EB" w:rsidR="009245E0" w:rsidRDefault="00B97F7E">
      <w:pPr>
        <w:pStyle w:val="TM1"/>
        <w:rPr>
          <w:rFonts w:asciiTheme="minorHAnsi" w:eastAsiaTheme="minorEastAsia" w:hAnsiTheme="minorHAnsi" w:cstheme="minorBidi"/>
          <w:sz w:val="22"/>
          <w:szCs w:val="22"/>
        </w:rPr>
      </w:pPr>
      <w:hyperlink w:anchor="_Toc488074640" w:history="1">
        <w:r w:rsidR="009245E0" w:rsidRPr="00E07F76">
          <w:rPr>
            <w:rStyle w:val="Lienhypertexte"/>
          </w:rPr>
          <w:t>Article 9.</w:t>
        </w:r>
        <w:r w:rsidR="009245E0">
          <w:rPr>
            <w:rFonts w:asciiTheme="minorHAnsi" w:eastAsiaTheme="minorEastAsia" w:hAnsiTheme="minorHAnsi" w:cstheme="minorBidi"/>
            <w:sz w:val="22"/>
            <w:szCs w:val="22"/>
          </w:rPr>
          <w:tab/>
        </w:r>
        <w:r w:rsidR="009245E0" w:rsidRPr="00E07F76">
          <w:rPr>
            <w:rStyle w:val="Lienhypertexte"/>
          </w:rPr>
          <w:t>Entrée en vigueur, durée, résiliation</w:t>
        </w:r>
        <w:r w:rsidR="009245E0">
          <w:rPr>
            <w:webHidden/>
          </w:rPr>
          <w:tab/>
        </w:r>
        <w:r w:rsidR="009245E0">
          <w:rPr>
            <w:webHidden/>
          </w:rPr>
          <w:fldChar w:fldCharType="begin"/>
        </w:r>
        <w:r w:rsidR="009245E0">
          <w:rPr>
            <w:webHidden/>
          </w:rPr>
          <w:instrText xml:space="preserve"> PAGEREF _Toc488074640 \h </w:instrText>
        </w:r>
        <w:r w:rsidR="009245E0">
          <w:rPr>
            <w:webHidden/>
          </w:rPr>
        </w:r>
        <w:r w:rsidR="009245E0">
          <w:rPr>
            <w:webHidden/>
          </w:rPr>
          <w:fldChar w:fldCharType="separate"/>
        </w:r>
        <w:r w:rsidR="0009095E">
          <w:rPr>
            <w:webHidden/>
          </w:rPr>
          <w:t>7</w:t>
        </w:r>
        <w:r w:rsidR="009245E0">
          <w:rPr>
            <w:webHidden/>
          </w:rPr>
          <w:fldChar w:fldCharType="end"/>
        </w:r>
      </w:hyperlink>
    </w:p>
    <w:p w14:paraId="0CF30190" w14:textId="47EB4B49" w:rsidR="009245E0" w:rsidRDefault="00B97F7E">
      <w:pPr>
        <w:pStyle w:val="TM1"/>
        <w:rPr>
          <w:rFonts w:asciiTheme="minorHAnsi" w:eastAsiaTheme="minorEastAsia" w:hAnsiTheme="minorHAnsi" w:cstheme="minorBidi"/>
          <w:sz w:val="22"/>
          <w:szCs w:val="22"/>
        </w:rPr>
      </w:pPr>
      <w:hyperlink w:anchor="_Toc488074641" w:history="1">
        <w:r w:rsidR="009245E0" w:rsidRPr="00E07F76">
          <w:rPr>
            <w:rStyle w:val="Lienhypertexte"/>
          </w:rPr>
          <w:t>Article 10.</w:t>
        </w:r>
        <w:r w:rsidR="009245E0">
          <w:rPr>
            <w:rFonts w:asciiTheme="minorHAnsi" w:eastAsiaTheme="minorEastAsia" w:hAnsiTheme="minorHAnsi" w:cstheme="minorBidi"/>
            <w:sz w:val="22"/>
            <w:szCs w:val="22"/>
          </w:rPr>
          <w:tab/>
        </w:r>
        <w:r w:rsidR="009245E0" w:rsidRPr="00E07F76">
          <w:rPr>
            <w:rStyle w:val="Lienhypertexte"/>
          </w:rPr>
          <w:t>Intégralité de la convention</w:t>
        </w:r>
        <w:r w:rsidR="009245E0">
          <w:rPr>
            <w:webHidden/>
          </w:rPr>
          <w:tab/>
        </w:r>
        <w:r w:rsidR="009245E0">
          <w:rPr>
            <w:webHidden/>
          </w:rPr>
          <w:fldChar w:fldCharType="begin"/>
        </w:r>
        <w:r w:rsidR="009245E0">
          <w:rPr>
            <w:webHidden/>
          </w:rPr>
          <w:instrText xml:space="preserve"> PAGEREF _Toc488074641 \h </w:instrText>
        </w:r>
        <w:r w:rsidR="009245E0">
          <w:rPr>
            <w:webHidden/>
          </w:rPr>
        </w:r>
        <w:r w:rsidR="009245E0">
          <w:rPr>
            <w:webHidden/>
          </w:rPr>
          <w:fldChar w:fldCharType="separate"/>
        </w:r>
        <w:r w:rsidR="0009095E">
          <w:rPr>
            <w:webHidden/>
          </w:rPr>
          <w:t>8</w:t>
        </w:r>
        <w:r w:rsidR="009245E0">
          <w:rPr>
            <w:webHidden/>
          </w:rPr>
          <w:fldChar w:fldCharType="end"/>
        </w:r>
      </w:hyperlink>
    </w:p>
    <w:p w14:paraId="618FB712" w14:textId="1B933A38" w:rsidR="009245E0" w:rsidRDefault="00B97F7E">
      <w:pPr>
        <w:pStyle w:val="TM1"/>
        <w:rPr>
          <w:rFonts w:asciiTheme="minorHAnsi" w:eastAsiaTheme="minorEastAsia" w:hAnsiTheme="minorHAnsi" w:cstheme="minorBidi"/>
          <w:sz w:val="22"/>
          <w:szCs w:val="22"/>
        </w:rPr>
      </w:pPr>
      <w:hyperlink w:anchor="_Toc488074642" w:history="1">
        <w:r w:rsidR="009245E0" w:rsidRPr="00E07F76">
          <w:rPr>
            <w:rStyle w:val="Lienhypertexte"/>
          </w:rPr>
          <w:t>Article 11.</w:t>
        </w:r>
        <w:r w:rsidR="009245E0">
          <w:rPr>
            <w:rFonts w:asciiTheme="minorHAnsi" w:eastAsiaTheme="minorEastAsia" w:hAnsiTheme="minorHAnsi" w:cstheme="minorBidi"/>
            <w:sz w:val="22"/>
            <w:szCs w:val="22"/>
          </w:rPr>
          <w:tab/>
        </w:r>
        <w:r w:rsidR="009245E0" w:rsidRPr="00E07F76">
          <w:rPr>
            <w:rStyle w:val="Lienhypertexte"/>
          </w:rPr>
          <w:t>Intuitu Personae</w:t>
        </w:r>
        <w:r w:rsidR="009245E0">
          <w:rPr>
            <w:webHidden/>
          </w:rPr>
          <w:tab/>
        </w:r>
        <w:r w:rsidR="009245E0">
          <w:rPr>
            <w:webHidden/>
          </w:rPr>
          <w:fldChar w:fldCharType="begin"/>
        </w:r>
        <w:r w:rsidR="009245E0">
          <w:rPr>
            <w:webHidden/>
          </w:rPr>
          <w:instrText xml:space="preserve"> PAGEREF _Toc488074642 \h </w:instrText>
        </w:r>
        <w:r w:rsidR="009245E0">
          <w:rPr>
            <w:webHidden/>
          </w:rPr>
        </w:r>
        <w:r w:rsidR="009245E0">
          <w:rPr>
            <w:webHidden/>
          </w:rPr>
          <w:fldChar w:fldCharType="separate"/>
        </w:r>
        <w:r w:rsidR="0009095E">
          <w:rPr>
            <w:webHidden/>
          </w:rPr>
          <w:t>8</w:t>
        </w:r>
        <w:r w:rsidR="009245E0">
          <w:rPr>
            <w:webHidden/>
          </w:rPr>
          <w:fldChar w:fldCharType="end"/>
        </w:r>
      </w:hyperlink>
    </w:p>
    <w:p w14:paraId="616F0B7F" w14:textId="359E0170" w:rsidR="009245E0" w:rsidRDefault="00B97F7E">
      <w:pPr>
        <w:pStyle w:val="TM1"/>
        <w:rPr>
          <w:rFonts w:asciiTheme="minorHAnsi" w:eastAsiaTheme="minorEastAsia" w:hAnsiTheme="minorHAnsi" w:cstheme="minorBidi"/>
          <w:sz w:val="22"/>
          <w:szCs w:val="22"/>
        </w:rPr>
      </w:pPr>
      <w:hyperlink w:anchor="_Toc488074643" w:history="1">
        <w:r w:rsidR="009245E0" w:rsidRPr="00E07F76">
          <w:rPr>
            <w:rStyle w:val="Lienhypertexte"/>
          </w:rPr>
          <w:t>Article 12.</w:t>
        </w:r>
        <w:r w:rsidR="009245E0">
          <w:rPr>
            <w:rFonts w:asciiTheme="minorHAnsi" w:eastAsiaTheme="minorEastAsia" w:hAnsiTheme="minorHAnsi" w:cstheme="minorBidi"/>
            <w:sz w:val="22"/>
            <w:szCs w:val="22"/>
          </w:rPr>
          <w:tab/>
        </w:r>
        <w:r w:rsidR="009245E0" w:rsidRPr="00E07F76">
          <w:rPr>
            <w:rStyle w:val="Lienhypertexte"/>
          </w:rPr>
          <w:t>Divisibilité des clauses</w:t>
        </w:r>
        <w:r w:rsidR="009245E0">
          <w:rPr>
            <w:webHidden/>
          </w:rPr>
          <w:tab/>
        </w:r>
        <w:r w:rsidR="009245E0">
          <w:rPr>
            <w:webHidden/>
          </w:rPr>
          <w:fldChar w:fldCharType="begin"/>
        </w:r>
        <w:r w:rsidR="009245E0">
          <w:rPr>
            <w:webHidden/>
          </w:rPr>
          <w:instrText xml:space="preserve"> PAGEREF _Toc488074643 \h </w:instrText>
        </w:r>
        <w:r w:rsidR="009245E0">
          <w:rPr>
            <w:webHidden/>
          </w:rPr>
        </w:r>
        <w:r w:rsidR="009245E0">
          <w:rPr>
            <w:webHidden/>
          </w:rPr>
          <w:fldChar w:fldCharType="separate"/>
        </w:r>
        <w:r w:rsidR="0009095E">
          <w:rPr>
            <w:webHidden/>
          </w:rPr>
          <w:t>8</w:t>
        </w:r>
        <w:r w:rsidR="009245E0">
          <w:rPr>
            <w:webHidden/>
          </w:rPr>
          <w:fldChar w:fldCharType="end"/>
        </w:r>
      </w:hyperlink>
    </w:p>
    <w:p w14:paraId="7C18FECB" w14:textId="5AC523D1" w:rsidR="009245E0" w:rsidRDefault="00B97F7E">
      <w:pPr>
        <w:pStyle w:val="TM1"/>
        <w:rPr>
          <w:rFonts w:asciiTheme="minorHAnsi" w:eastAsiaTheme="minorEastAsia" w:hAnsiTheme="minorHAnsi" w:cstheme="minorBidi"/>
          <w:sz w:val="22"/>
          <w:szCs w:val="22"/>
        </w:rPr>
      </w:pPr>
      <w:hyperlink w:anchor="_Toc488074644" w:history="1">
        <w:r w:rsidR="009245E0" w:rsidRPr="00E07F76">
          <w:rPr>
            <w:rStyle w:val="Lienhypertexte"/>
          </w:rPr>
          <w:t>Article 13.</w:t>
        </w:r>
        <w:r w:rsidR="009245E0">
          <w:rPr>
            <w:rFonts w:asciiTheme="minorHAnsi" w:eastAsiaTheme="minorEastAsia" w:hAnsiTheme="minorHAnsi" w:cstheme="minorBidi"/>
            <w:sz w:val="22"/>
            <w:szCs w:val="22"/>
          </w:rPr>
          <w:tab/>
        </w:r>
        <w:r w:rsidR="009245E0" w:rsidRPr="00E07F76">
          <w:rPr>
            <w:rStyle w:val="Lienhypertexte"/>
          </w:rPr>
          <w:t>Différends</w:t>
        </w:r>
        <w:r w:rsidR="009245E0">
          <w:rPr>
            <w:webHidden/>
          </w:rPr>
          <w:tab/>
        </w:r>
        <w:r w:rsidR="009245E0">
          <w:rPr>
            <w:webHidden/>
          </w:rPr>
          <w:fldChar w:fldCharType="begin"/>
        </w:r>
        <w:r w:rsidR="009245E0">
          <w:rPr>
            <w:webHidden/>
          </w:rPr>
          <w:instrText xml:space="preserve"> PAGEREF _Toc488074644 \h </w:instrText>
        </w:r>
        <w:r w:rsidR="009245E0">
          <w:rPr>
            <w:webHidden/>
          </w:rPr>
        </w:r>
        <w:r w:rsidR="009245E0">
          <w:rPr>
            <w:webHidden/>
          </w:rPr>
          <w:fldChar w:fldCharType="separate"/>
        </w:r>
        <w:r w:rsidR="0009095E">
          <w:rPr>
            <w:webHidden/>
          </w:rPr>
          <w:t>8</w:t>
        </w:r>
        <w:r w:rsidR="009245E0">
          <w:rPr>
            <w:webHidden/>
          </w:rPr>
          <w:fldChar w:fldCharType="end"/>
        </w:r>
      </w:hyperlink>
    </w:p>
    <w:p w14:paraId="47FD7081" w14:textId="093FA89C" w:rsidR="00ED730E" w:rsidRPr="005508A7" w:rsidRDefault="0060247C" w:rsidP="00102031">
      <w:pPr>
        <w:pStyle w:val="TM1"/>
        <w:rPr>
          <w:highlight w:val="yellow"/>
        </w:rPr>
      </w:pPr>
      <w:r w:rsidRPr="005508A7">
        <w:rPr>
          <w:highlight w:val="yellow"/>
        </w:rPr>
        <w:fldChar w:fldCharType="end"/>
      </w:r>
    </w:p>
    <w:p w14:paraId="60D1DA6E" w14:textId="77777777" w:rsidR="00F61E39" w:rsidRPr="005508A7" w:rsidRDefault="00ED730E" w:rsidP="00102031">
      <w:pPr>
        <w:pStyle w:val="TM1"/>
      </w:pPr>
      <w:r w:rsidRPr="005508A7">
        <w:rPr>
          <w:highlight w:val="yellow"/>
        </w:rPr>
        <w:br w:type="page"/>
      </w:r>
    </w:p>
    <w:p w14:paraId="6AA5B86F" w14:textId="77777777" w:rsidR="00623ED9" w:rsidRPr="005508A7" w:rsidRDefault="007B0096" w:rsidP="00102031">
      <w:pPr>
        <w:pStyle w:val="TM1"/>
      </w:pPr>
      <w:r w:rsidRPr="005508A7">
        <w:lastRenderedPageBreak/>
        <w:t>Préambule</w:t>
      </w:r>
    </w:p>
    <w:p w14:paraId="72A1598E" w14:textId="63005436" w:rsidR="00674D79" w:rsidRPr="005508A7" w:rsidRDefault="00BC7711" w:rsidP="003C3226">
      <w:pPr>
        <w:pStyle w:val="premablelist"/>
        <w:rPr>
          <w:szCs w:val="24"/>
        </w:rPr>
      </w:pPr>
      <w:r w:rsidRPr="005508A7">
        <w:rPr>
          <w:szCs w:val="24"/>
        </w:rPr>
        <w:t>L’associat</w:t>
      </w:r>
      <w:r w:rsidR="00851B7D" w:rsidRPr="005508A7">
        <w:rPr>
          <w:szCs w:val="24"/>
        </w:rPr>
        <w:t>ion ADCET</w:t>
      </w:r>
      <w:r w:rsidR="004A3141" w:rsidRPr="005508A7">
        <w:rPr>
          <w:szCs w:val="24"/>
        </w:rPr>
        <w:t xml:space="preserve"> </w:t>
      </w:r>
      <w:r w:rsidR="00851B7D" w:rsidRPr="005508A7">
        <w:rPr>
          <w:szCs w:val="24"/>
        </w:rPr>
        <w:t xml:space="preserve">a </w:t>
      </w:r>
      <w:r w:rsidR="00467CED" w:rsidRPr="005508A7">
        <w:rPr>
          <w:szCs w:val="24"/>
        </w:rPr>
        <w:t>spécifié une</w:t>
      </w:r>
      <w:r w:rsidR="00851B7D" w:rsidRPr="005508A7">
        <w:rPr>
          <w:szCs w:val="24"/>
        </w:rPr>
        <w:t xml:space="preserve"> </w:t>
      </w:r>
      <w:r w:rsidR="00467CED" w:rsidRPr="005508A7">
        <w:rPr>
          <w:szCs w:val="24"/>
        </w:rPr>
        <w:t>application pour la gestion de plusieurs services avec un support unique,</w:t>
      </w:r>
      <w:r w:rsidRPr="005508A7">
        <w:rPr>
          <w:szCs w:val="24"/>
        </w:rPr>
        <w:t xml:space="preserve"> dénommée </w:t>
      </w:r>
      <w:r w:rsidR="00851B7D" w:rsidRPr="005508A7">
        <w:rPr>
          <w:smallCaps/>
          <w:szCs w:val="24"/>
        </w:rPr>
        <w:t>Applicatio</w:t>
      </w:r>
      <w:r w:rsidR="008F1B36" w:rsidRPr="005508A7">
        <w:rPr>
          <w:smallCaps/>
          <w:szCs w:val="24"/>
        </w:rPr>
        <w:t xml:space="preserve">n Multiservices Citoyenne </w:t>
      </w:r>
      <w:r w:rsidR="00467CED" w:rsidRPr="005508A7">
        <w:rPr>
          <w:szCs w:val="24"/>
        </w:rPr>
        <w:t>ci-après AMC</w:t>
      </w:r>
      <w:r w:rsidR="008F1B36" w:rsidRPr="005508A7">
        <w:rPr>
          <w:szCs w:val="24"/>
        </w:rPr>
        <w:t xml:space="preserve"> </w:t>
      </w:r>
      <w:r w:rsidR="00467CED" w:rsidRPr="005508A7">
        <w:rPr>
          <w:szCs w:val="24"/>
        </w:rPr>
        <w:t>qui a été enregistrée comme norme AFNOR sous</w:t>
      </w:r>
      <w:r w:rsidR="009677F2">
        <w:rPr>
          <w:szCs w:val="24"/>
        </w:rPr>
        <w:t xml:space="preserve"> le numéro XP 99-508</w:t>
      </w:r>
      <w:r w:rsidR="00467CED" w:rsidRPr="005508A7">
        <w:rPr>
          <w:szCs w:val="24"/>
        </w:rPr>
        <w:t>.</w:t>
      </w:r>
    </w:p>
    <w:p w14:paraId="32F5979F" w14:textId="0E3B9FE6" w:rsidR="00790E8B" w:rsidRPr="005508A7" w:rsidRDefault="00467CED" w:rsidP="00102031">
      <w:pPr>
        <w:pStyle w:val="premablelist"/>
        <w:rPr>
          <w:szCs w:val="24"/>
        </w:rPr>
      </w:pPr>
      <w:r w:rsidRPr="005508A7">
        <w:rPr>
          <w:szCs w:val="24"/>
        </w:rPr>
        <w:t xml:space="preserve"> La sp</w:t>
      </w:r>
      <w:r w:rsidR="008122A3" w:rsidRPr="005508A7">
        <w:rPr>
          <w:szCs w:val="24"/>
        </w:rPr>
        <w:t>écification AMC est</w:t>
      </w:r>
      <w:r w:rsidR="00C25BB7" w:rsidRPr="005508A7">
        <w:rPr>
          <w:szCs w:val="24"/>
        </w:rPr>
        <w:t xml:space="preserve"> </w:t>
      </w:r>
      <w:r w:rsidR="00BC7711" w:rsidRPr="005508A7">
        <w:rPr>
          <w:szCs w:val="24"/>
        </w:rPr>
        <w:t>mis</w:t>
      </w:r>
      <w:r w:rsidR="00E007C1" w:rsidRPr="005508A7">
        <w:rPr>
          <w:szCs w:val="24"/>
        </w:rPr>
        <w:t>e</w:t>
      </w:r>
      <w:r w:rsidR="00BC7711" w:rsidRPr="005508A7">
        <w:rPr>
          <w:szCs w:val="24"/>
        </w:rPr>
        <w:t xml:space="preserve"> à disposition de toute entité en charge d’émettre ou d’accepter</w:t>
      </w:r>
      <w:r w:rsidRPr="005508A7">
        <w:rPr>
          <w:szCs w:val="24"/>
        </w:rPr>
        <w:t xml:space="preserve"> des supports pour des applications multiservices, </w:t>
      </w:r>
      <w:r w:rsidR="000621DB">
        <w:rPr>
          <w:szCs w:val="24"/>
        </w:rPr>
        <w:t xml:space="preserve">et </w:t>
      </w:r>
      <w:r w:rsidRPr="005508A7">
        <w:rPr>
          <w:szCs w:val="24"/>
        </w:rPr>
        <w:t xml:space="preserve">en particulier </w:t>
      </w:r>
      <w:r w:rsidR="000621DB">
        <w:rPr>
          <w:szCs w:val="24"/>
        </w:rPr>
        <w:t xml:space="preserve">sans que cette liste soit </w:t>
      </w:r>
      <w:r w:rsidR="008966FB">
        <w:rPr>
          <w:szCs w:val="24"/>
        </w:rPr>
        <w:t>limitative : les</w:t>
      </w:r>
      <w:r w:rsidR="000621DB">
        <w:rPr>
          <w:szCs w:val="24"/>
        </w:rPr>
        <w:t xml:space="preserve"> collectivités </w:t>
      </w:r>
      <w:r w:rsidR="00790E8B" w:rsidRPr="005508A7">
        <w:rPr>
          <w:szCs w:val="24"/>
        </w:rPr>
        <w:t>locales,</w:t>
      </w:r>
      <w:r w:rsidR="00BC7711" w:rsidRPr="005508A7">
        <w:rPr>
          <w:szCs w:val="24"/>
        </w:rPr>
        <w:t xml:space="preserve"> les opérateurs de transport, les émetteurs de supports portables pouvant être utilisés dans un contexte</w:t>
      </w:r>
      <w:r w:rsidRPr="005508A7">
        <w:rPr>
          <w:szCs w:val="24"/>
        </w:rPr>
        <w:t xml:space="preserve"> multiservices</w:t>
      </w:r>
      <w:r w:rsidR="000621DB">
        <w:rPr>
          <w:szCs w:val="24"/>
        </w:rPr>
        <w:t>, les fabricants de cartes et de terminaux, les éditeurs de logiciels et les prestataires de services.</w:t>
      </w:r>
    </w:p>
    <w:p w14:paraId="12C66C22" w14:textId="449AF232" w:rsidR="00BC7711" w:rsidRPr="005508A7" w:rsidRDefault="00790E8B" w:rsidP="00674D79">
      <w:pPr>
        <w:pStyle w:val="premablelist"/>
        <w:rPr>
          <w:szCs w:val="24"/>
        </w:rPr>
      </w:pPr>
      <w:r w:rsidRPr="005508A7">
        <w:rPr>
          <w:szCs w:val="24"/>
        </w:rPr>
        <w:t>La mise en œuvre de l’</w:t>
      </w:r>
      <w:r w:rsidR="00467CED" w:rsidRPr="005508A7">
        <w:rPr>
          <w:szCs w:val="24"/>
        </w:rPr>
        <w:t xml:space="preserve">AMC </w:t>
      </w:r>
      <w:r w:rsidRPr="005508A7">
        <w:rPr>
          <w:szCs w:val="24"/>
        </w:rPr>
        <w:t xml:space="preserve">Commune </w:t>
      </w:r>
      <w:r w:rsidR="00467CED" w:rsidRPr="005508A7">
        <w:rPr>
          <w:szCs w:val="24"/>
        </w:rPr>
        <w:t xml:space="preserve">consiste en </w:t>
      </w:r>
      <w:r w:rsidR="00BC7711" w:rsidRPr="005508A7">
        <w:rPr>
          <w:szCs w:val="24"/>
        </w:rPr>
        <w:t>:</w:t>
      </w:r>
    </w:p>
    <w:p w14:paraId="612EFEC2" w14:textId="23CB7C42" w:rsidR="00BC7711" w:rsidRPr="005508A7" w:rsidRDefault="00790E8B" w:rsidP="00674D79">
      <w:pPr>
        <w:pStyle w:val="premablelist"/>
        <w:numPr>
          <w:ilvl w:val="1"/>
          <w:numId w:val="33"/>
        </w:numPr>
        <w:tabs>
          <w:tab w:val="clear" w:pos="1440"/>
          <w:tab w:val="num" w:pos="709"/>
        </w:tabs>
        <w:spacing w:before="0"/>
        <w:ind w:left="709" w:hanging="284"/>
        <w:rPr>
          <w:szCs w:val="24"/>
        </w:rPr>
      </w:pPr>
      <w:r w:rsidRPr="005508A7">
        <w:rPr>
          <w:szCs w:val="24"/>
        </w:rPr>
        <w:t>Une</w:t>
      </w:r>
      <w:r w:rsidR="00BC7711" w:rsidRPr="005508A7">
        <w:rPr>
          <w:szCs w:val="24"/>
        </w:rPr>
        <w:t xml:space="preserve"> implément</w:t>
      </w:r>
      <w:r w:rsidRPr="005508A7">
        <w:rPr>
          <w:szCs w:val="24"/>
        </w:rPr>
        <w:t>ation des spécifications de l’AMC</w:t>
      </w:r>
      <w:r w:rsidR="00BC7711" w:rsidRPr="005508A7">
        <w:rPr>
          <w:szCs w:val="24"/>
        </w:rPr>
        <w:t xml:space="preserve">, dans </w:t>
      </w:r>
      <w:r w:rsidR="00F463E6">
        <w:rPr>
          <w:szCs w:val="24"/>
        </w:rPr>
        <w:t>t</w:t>
      </w:r>
      <w:bookmarkStart w:id="0" w:name="_GoBack"/>
      <w:bookmarkEnd w:id="0"/>
      <w:r w:rsidR="00F463E6">
        <w:rPr>
          <w:szCs w:val="24"/>
        </w:rPr>
        <w:t>out support (carte, mobile…).</w:t>
      </w:r>
    </w:p>
    <w:p w14:paraId="62F05156" w14:textId="798084E3" w:rsidR="00BC7711" w:rsidRPr="005508A7" w:rsidRDefault="00790E8B" w:rsidP="00674D79">
      <w:pPr>
        <w:pStyle w:val="premablelist"/>
        <w:numPr>
          <w:ilvl w:val="1"/>
          <w:numId w:val="33"/>
        </w:numPr>
        <w:tabs>
          <w:tab w:val="clear" w:pos="1440"/>
          <w:tab w:val="num" w:pos="709"/>
        </w:tabs>
        <w:spacing w:before="0"/>
        <w:ind w:left="709" w:hanging="284"/>
        <w:rPr>
          <w:szCs w:val="24"/>
        </w:rPr>
      </w:pPr>
      <w:r w:rsidRPr="005508A7">
        <w:rPr>
          <w:szCs w:val="24"/>
        </w:rPr>
        <w:t>Un jeu de clés</w:t>
      </w:r>
      <w:r w:rsidR="00467CED" w:rsidRPr="005508A7">
        <w:rPr>
          <w:szCs w:val="24"/>
        </w:rPr>
        <w:t xml:space="preserve"> mis à disposition</w:t>
      </w:r>
      <w:r w:rsidR="008122A3" w:rsidRPr="005508A7">
        <w:rPr>
          <w:szCs w:val="24"/>
        </w:rPr>
        <w:t xml:space="preserve"> directement ou indirectement </w:t>
      </w:r>
      <w:r w:rsidR="00467CED" w:rsidRPr="005508A7">
        <w:rPr>
          <w:szCs w:val="24"/>
        </w:rPr>
        <w:t>par l’ADCET</w:t>
      </w:r>
      <w:r w:rsidR="00BC7711" w:rsidRPr="005508A7">
        <w:rPr>
          <w:szCs w:val="24"/>
        </w:rPr>
        <w:t xml:space="preserve"> à toute entité qui souhaite émettre des supports comprenant l’application </w:t>
      </w:r>
      <w:r w:rsidR="00D21E1B" w:rsidRPr="005508A7">
        <w:rPr>
          <w:smallCaps/>
          <w:szCs w:val="24"/>
        </w:rPr>
        <w:t>AMC Commune</w:t>
      </w:r>
      <w:r w:rsidR="00D21E1B" w:rsidRPr="005508A7">
        <w:rPr>
          <w:szCs w:val="24"/>
        </w:rPr>
        <w:t xml:space="preserve"> </w:t>
      </w:r>
      <w:r w:rsidR="00BC7711" w:rsidRPr="005508A7">
        <w:rPr>
          <w:szCs w:val="24"/>
        </w:rPr>
        <w:t>et/ou accepter des suppo</w:t>
      </w:r>
      <w:r w:rsidR="00D21E1B">
        <w:rPr>
          <w:szCs w:val="24"/>
        </w:rPr>
        <w:t xml:space="preserve">rts </w:t>
      </w:r>
      <w:r w:rsidR="000621DB">
        <w:rPr>
          <w:szCs w:val="24"/>
        </w:rPr>
        <w:t>sur des</w:t>
      </w:r>
      <w:r w:rsidR="00BC7711" w:rsidRPr="005508A7">
        <w:rPr>
          <w:szCs w:val="24"/>
        </w:rPr>
        <w:t xml:space="preserve"> terminaux d’acceptation,</w:t>
      </w:r>
    </w:p>
    <w:p w14:paraId="386D298F" w14:textId="77777777" w:rsidR="00BC7711" w:rsidRPr="005508A7" w:rsidRDefault="00790E8B" w:rsidP="00674D79">
      <w:pPr>
        <w:pStyle w:val="premablelist"/>
        <w:numPr>
          <w:ilvl w:val="1"/>
          <w:numId w:val="33"/>
        </w:numPr>
        <w:tabs>
          <w:tab w:val="clear" w:pos="1440"/>
          <w:tab w:val="num" w:pos="709"/>
        </w:tabs>
        <w:spacing w:before="0"/>
        <w:ind w:left="709" w:hanging="283"/>
        <w:rPr>
          <w:szCs w:val="24"/>
        </w:rPr>
      </w:pPr>
      <w:r w:rsidRPr="005508A7">
        <w:rPr>
          <w:szCs w:val="24"/>
        </w:rPr>
        <w:t>Un</w:t>
      </w:r>
      <w:r w:rsidR="00BC7711" w:rsidRPr="005508A7">
        <w:rPr>
          <w:szCs w:val="24"/>
        </w:rPr>
        <w:t xml:space="preserve"> ensemble de règles de bon usage des composants de </w:t>
      </w:r>
      <w:r w:rsidRPr="005508A7">
        <w:rPr>
          <w:smallCaps/>
          <w:szCs w:val="24"/>
        </w:rPr>
        <w:t>AMC Commune</w:t>
      </w:r>
      <w:r w:rsidR="00BC7711" w:rsidRPr="005508A7">
        <w:rPr>
          <w:szCs w:val="24"/>
        </w:rPr>
        <w:t xml:space="preserve">, que toute entité utilisatrice de </w:t>
      </w:r>
      <w:r w:rsidRPr="005508A7">
        <w:rPr>
          <w:smallCaps/>
          <w:szCs w:val="24"/>
        </w:rPr>
        <w:t>AMC Commune</w:t>
      </w:r>
      <w:r w:rsidR="00BC7711" w:rsidRPr="005508A7">
        <w:rPr>
          <w:szCs w:val="24"/>
        </w:rPr>
        <w:t xml:space="preserve"> doit s’engager à respecter. </w:t>
      </w:r>
    </w:p>
    <w:p w14:paraId="4EE01A35" w14:textId="77777777" w:rsidR="00F04152" w:rsidRPr="005508A7" w:rsidRDefault="00CD1F6C" w:rsidP="00674D79">
      <w:pPr>
        <w:pStyle w:val="premablelist"/>
        <w:spacing w:after="120"/>
        <w:ind w:left="357"/>
        <w:rPr>
          <w:szCs w:val="24"/>
        </w:rPr>
      </w:pPr>
      <w:r w:rsidRPr="005508A7">
        <w:rPr>
          <w:szCs w:val="24"/>
        </w:rPr>
        <w:t xml:space="preserve">En complément de ses principes de sécurité, </w:t>
      </w:r>
      <w:r w:rsidR="003E7F8A" w:rsidRPr="005508A7">
        <w:rPr>
          <w:szCs w:val="24"/>
        </w:rPr>
        <w:t>l’AMC</w:t>
      </w:r>
      <w:r w:rsidR="00F04152" w:rsidRPr="005508A7">
        <w:rPr>
          <w:szCs w:val="24"/>
        </w:rPr>
        <w:t xml:space="preserve"> </w:t>
      </w:r>
      <w:r w:rsidR="00E007C1" w:rsidRPr="005508A7">
        <w:rPr>
          <w:szCs w:val="24"/>
        </w:rPr>
        <w:t>repose</w:t>
      </w:r>
      <w:r w:rsidRPr="005508A7">
        <w:rPr>
          <w:szCs w:val="24"/>
        </w:rPr>
        <w:t xml:space="preserve"> </w:t>
      </w:r>
      <w:r w:rsidR="00F04152" w:rsidRPr="005508A7">
        <w:rPr>
          <w:szCs w:val="24"/>
        </w:rPr>
        <w:t xml:space="preserve">sur le respect </w:t>
      </w:r>
      <w:r w:rsidR="00F52ED1" w:rsidRPr="005508A7">
        <w:rPr>
          <w:szCs w:val="24"/>
        </w:rPr>
        <w:t xml:space="preserve">par ses partenaires </w:t>
      </w:r>
      <w:r w:rsidR="007C6080" w:rsidRPr="005508A7">
        <w:rPr>
          <w:szCs w:val="24"/>
        </w:rPr>
        <w:t>d'un certain nombre de règles de gestion</w:t>
      </w:r>
      <w:r w:rsidR="00E007C1" w:rsidRPr="005508A7">
        <w:rPr>
          <w:szCs w:val="24"/>
        </w:rPr>
        <w:t xml:space="preserve"> décrites dans les spécifications de l'application. </w:t>
      </w:r>
      <w:r w:rsidR="008D3363" w:rsidRPr="005508A7">
        <w:rPr>
          <w:szCs w:val="24"/>
        </w:rPr>
        <w:t xml:space="preserve">Il est donc utile que </w:t>
      </w:r>
      <w:r w:rsidR="00790E8B" w:rsidRPr="005508A7">
        <w:rPr>
          <w:szCs w:val="24"/>
        </w:rPr>
        <w:t>ADCET</w:t>
      </w:r>
      <w:r w:rsidR="008D3363" w:rsidRPr="005508A7">
        <w:rPr>
          <w:szCs w:val="24"/>
        </w:rPr>
        <w:t xml:space="preserve"> puisse s'assurer du respect de ces règles</w:t>
      </w:r>
      <w:r w:rsidR="00930928" w:rsidRPr="005508A7">
        <w:rPr>
          <w:szCs w:val="24"/>
        </w:rPr>
        <w:t>, dans l'intérêt de tous.</w:t>
      </w:r>
    </w:p>
    <w:p w14:paraId="065A3322" w14:textId="77777777" w:rsidR="0006420D" w:rsidRPr="005508A7" w:rsidRDefault="00BC7711" w:rsidP="00674D79">
      <w:pPr>
        <w:pStyle w:val="premablelist"/>
        <w:spacing w:after="120"/>
        <w:ind w:left="357"/>
        <w:rPr>
          <w:szCs w:val="24"/>
        </w:rPr>
      </w:pPr>
      <w:r w:rsidRPr="005508A7">
        <w:rPr>
          <w:szCs w:val="24"/>
        </w:rPr>
        <w:t xml:space="preserve">L’accès </w:t>
      </w:r>
      <w:r w:rsidR="007D6FEC" w:rsidRPr="005508A7">
        <w:rPr>
          <w:szCs w:val="24"/>
        </w:rPr>
        <w:t>à</w:t>
      </w:r>
      <w:r w:rsidRPr="005508A7">
        <w:rPr>
          <w:szCs w:val="24"/>
        </w:rPr>
        <w:t xml:space="preserve"> </w:t>
      </w:r>
      <w:r w:rsidR="00790E8B" w:rsidRPr="005508A7">
        <w:rPr>
          <w:smallCaps/>
          <w:szCs w:val="24"/>
        </w:rPr>
        <w:t>AMC Commune</w:t>
      </w:r>
      <w:r w:rsidR="00E007C1" w:rsidRPr="005508A7">
        <w:rPr>
          <w:szCs w:val="24"/>
        </w:rPr>
        <w:t xml:space="preserve"> </w:t>
      </w:r>
      <w:r w:rsidRPr="005508A7">
        <w:rPr>
          <w:szCs w:val="24"/>
        </w:rPr>
        <w:t>à quelque niveau que ce soit</w:t>
      </w:r>
      <w:r w:rsidR="00790E8B" w:rsidRPr="005508A7">
        <w:rPr>
          <w:szCs w:val="24"/>
        </w:rPr>
        <w:t>,</w:t>
      </w:r>
      <w:r w:rsidRPr="005508A7">
        <w:rPr>
          <w:szCs w:val="24"/>
        </w:rPr>
        <w:t xml:space="preserve"> suppose </w:t>
      </w:r>
      <w:r w:rsidR="007010E5" w:rsidRPr="005508A7">
        <w:rPr>
          <w:szCs w:val="24"/>
        </w:rPr>
        <w:t xml:space="preserve">l’approbation </w:t>
      </w:r>
      <w:r w:rsidR="00F04152" w:rsidRPr="005508A7">
        <w:rPr>
          <w:szCs w:val="24"/>
        </w:rPr>
        <w:t xml:space="preserve">de </w:t>
      </w:r>
      <w:r w:rsidR="00790E8B" w:rsidRPr="005508A7">
        <w:rPr>
          <w:szCs w:val="24"/>
        </w:rPr>
        <w:t>ADCET</w:t>
      </w:r>
      <w:r w:rsidR="00E007C1" w:rsidRPr="005508A7">
        <w:rPr>
          <w:szCs w:val="24"/>
        </w:rPr>
        <w:t>,</w:t>
      </w:r>
      <w:r w:rsidRPr="005508A7">
        <w:rPr>
          <w:szCs w:val="24"/>
        </w:rPr>
        <w:t xml:space="preserve"> </w:t>
      </w:r>
      <w:r w:rsidR="00E007C1" w:rsidRPr="005508A7">
        <w:rPr>
          <w:szCs w:val="24"/>
        </w:rPr>
        <w:t xml:space="preserve">qui </w:t>
      </w:r>
      <w:r w:rsidRPr="005508A7">
        <w:rPr>
          <w:szCs w:val="24"/>
        </w:rPr>
        <w:t xml:space="preserve">peut décider de refuser </w:t>
      </w:r>
      <w:r w:rsidR="007D6FEC" w:rsidRPr="005508A7">
        <w:rPr>
          <w:szCs w:val="24"/>
        </w:rPr>
        <w:t>l</w:t>
      </w:r>
      <w:r w:rsidR="00E007C1" w:rsidRPr="005508A7">
        <w:rPr>
          <w:szCs w:val="24"/>
        </w:rPr>
        <w:t xml:space="preserve">a demande de </w:t>
      </w:r>
      <w:r w:rsidRPr="005508A7">
        <w:rPr>
          <w:szCs w:val="24"/>
        </w:rPr>
        <w:t>participation</w:t>
      </w:r>
      <w:r w:rsidR="007D6FEC" w:rsidRPr="005508A7">
        <w:rPr>
          <w:szCs w:val="24"/>
        </w:rPr>
        <w:t xml:space="preserve"> d'une entité</w:t>
      </w:r>
      <w:r w:rsidRPr="005508A7">
        <w:rPr>
          <w:szCs w:val="24"/>
        </w:rPr>
        <w:t xml:space="preserve"> si </w:t>
      </w:r>
      <w:r w:rsidR="007D6FEC" w:rsidRPr="005508A7">
        <w:rPr>
          <w:szCs w:val="24"/>
        </w:rPr>
        <w:t>celle-ci</w:t>
      </w:r>
      <w:r w:rsidRPr="005508A7">
        <w:rPr>
          <w:szCs w:val="24"/>
        </w:rPr>
        <w:t xml:space="preserve"> n’offre pas toutes les garanties d’acceptation et de mise en œuvre des règles de sécurité et d’usage de </w:t>
      </w:r>
      <w:r w:rsidR="00790E8B" w:rsidRPr="005508A7">
        <w:rPr>
          <w:smallCaps/>
          <w:szCs w:val="24"/>
        </w:rPr>
        <w:t>AMC Commune</w:t>
      </w:r>
      <w:r w:rsidRPr="005508A7">
        <w:rPr>
          <w:szCs w:val="24"/>
        </w:rPr>
        <w:t>.</w:t>
      </w:r>
    </w:p>
    <w:p w14:paraId="4D684497" w14:textId="77777777" w:rsidR="00782C55" w:rsidRPr="005508A7" w:rsidRDefault="00BC7711" w:rsidP="00802AF6">
      <w:pPr>
        <w:pStyle w:val="premablelist"/>
        <w:spacing w:before="0" w:after="120"/>
        <w:ind w:left="357" w:hanging="357"/>
        <w:rPr>
          <w:szCs w:val="24"/>
        </w:rPr>
      </w:pPr>
      <w:r w:rsidRPr="005508A7">
        <w:rPr>
          <w:szCs w:val="24"/>
        </w:rPr>
        <w:t xml:space="preserve">En cas </w:t>
      </w:r>
      <w:r w:rsidR="007010E5" w:rsidRPr="005508A7">
        <w:rPr>
          <w:szCs w:val="24"/>
        </w:rPr>
        <w:t>d’accord</w:t>
      </w:r>
      <w:r w:rsidRPr="005508A7">
        <w:rPr>
          <w:szCs w:val="24"/>
        </w:rPr>
        <w:t xml:space="preserve">, l’entité qui souhaite mettre en œuvre </w:t>
      </w:r>
      <w:r w:rsidR="00790E8B" w:rsidRPr="005508A7">
        <w:rPr>
          <w:smallCaps/>
          <w:szCs w:val="24"/>
        </w:rPr>
        <w:t>AMC Commune</w:t>
      </w:r>
      <w:r w:rsidRPr="005508A7">
        <w:rPr>
          <w:szCs w:val="24"/>
        </w:rPr>
        <w:t xml:space="preserve"> signe avec </w:t>
      </w:r>
      <w:r w:rsidR="00790E8B" w:rsidRPr="005508A7">
        <w:rPr>
          <w:szCs w:val="24"/>
        </w:rPr>
        <w:t>ADCET</w:t>
      </w:r>
      <w:r w:rsidRPr="005508A7">
        <w:rPr>
          <w:szCs w:val="24"/>
        </w:rPr>
        <w:t xml:space="preserve"> la Convention d’usage de </w:t>
      </w:r>
      <w:r w:rsidR="00790E8B" w:rsidRPr="005508A7">
        <w:rPr>
          <w:szCs w:val="24"/>
        </w:rPr>
        <w:t>l’application AMC Commune</w:t>
      </w:r>
      <w:r w:rsidR="00D74871" w:rsidRPr="005508A7">
        <w:rPr>
          <w:szCs w:val="24"/>
        </w:rPr>
        <w:t>, objet du présent document</w:t>
      </w:r>
      <w:r w:rsidR="00321265" w:rsidRPr="005508A7">
        <w:rPr>
          <w:i/>
          <w:szCs w:val="24"/>
        </w:rPr>
        <w:t>.</w:t>
      </w:r>
    </w:p>
    <w:p w14:paraId="341C3943" w14:textId="77777777" w:rsidR="00ED730E" w:rsidRPr="005508A7" w:rsidRDefault="00ED730E" w:rsidP="00802AF6">
      <w:pPr>
        <w:rPr>
          <w:szCs w:val="24"/>
          <w:lang w:val="fr-FR"/>
        </w:rPr>
      </w:pPr>
    </w:p>
    <w:p w14:paraId="39CD821A" w14:textId="77777777" w:rsidR="005178FC" w:rsidRPr="005508A7" w:rsidRDefault="00782C55" w:rsidP="00102031">
      <w:pPr>
        <w:jc w:val="both"/>
        <w:rPr>
          <w:b/>
          <w:szCs w:val="24"/>
          <w:lang w:val="fr-FR"/>
        </w:rPr>
      </w:pPr>
      <w:r w:rsidRPr="005508A7">
        <w:rPr>
          <w:b/>
          <w:szCs w:val="24"/>
          <w:lang w:val="fr-FR"/>
        </w:rPr>
        <w:t>EN FOI DE QUOI IL A ETE CONVENU CE QUI SUIT :</w:t>
      </w:r>
      <w:bookmarkStart w:id="1" w:name="_Toc349134452"/>
      <w:bookmarkStart w:id="2" w:name="_Toc349134500"/>
      <w:bookmarkEnd w:id="1"/>
      <w:bookmarkEnd w:id="2"/>
    </w:p>
    <w:p w14:paraId="1C04F338" w14:textId="77777777" w:rsidR="0004131B" w:rsidRPr="005508A7" w:rsidRDefault="00DC7918" w:rsidP="00102031">
      <w:pPr>
        <w:keepNext/>
        <w:numPr>
          <w:ilvl w:val="0"/>
          <w:numId w:val="35"/>
        </w:numPr>
        <w:spacing w:before="240"/>
        <w:ind w:left="357" w:hanging="357"/>
        <w:jc w:val="both"/>
        <w:outlineLvl w:val="0"/>
        <w:rPr>
          <w:b/>
          <w:szCs w:val="24"/>
          <w:lang w:val="fr-FR"/>
        </w:rPr>
      </w:pPr>
      <w:bookmarkStart w:id="3" w:name="_Toc488074632"/>
      <w:r w:rsidRPr="005508A7">
        <w:rPr>
          <w:b/>
          <w:szCs w:val="24"/>
          <w:lang w:val="fr-FR"/>
        </w:rPr>
        <w:t>Définitions</w:t>
      </w:r>
      <w:bookmarkEnd w:id="3"/>
    </w:p>
    <w:p w14:paraId="04F361AC" w14:textId="77777777" w:rsidR="00564255" w:rsidRPr="005508A7" w:rsidRDefault="00564255" w:rsidP="003F0A16">
      <w:pPr>
        <w:pStyle w:val="Titre2"/>
      </w:pPr>
      <w:r w:rsidRPr="005508A7">
        <w:t xml:space="preserve">« Objet portable » désigne le support de l’application </w:t>
      </w:r>
      <w:r w:rsidR="008F1B36" w:rsidRPr="005508A7">
        <w:rPr>
          <w:smallCaps/>
        </w:rPr>
        <w:t>AMC</w:t>
      </w:r>
      <w:r w:rsidRPr="005508A7">
        <w:t>, par exemple, une carte sans contact dédiée, une carte Java Card, un téléphone NFC</w:t>
      </w:r>
      <w:r w:rsidR="007D52E5" w:rsidRPr="005508A7">
        <w:t xml:space="preserve">, </w:t>
      </w:r>
      <w:r w:rsidRPr="005508A7">
        <w:t>etc.</w:t>
      </w:r>
    </w:p>
    <w:p w14:paraId="07F6AB0D" w14:textId="2E6550AF" w:rsidR="00564255" w:rsidRPr="005508A7" w:rsidRDefault="00F8028D" w:rsidP="003F0A16">
      <w:pPr>
        <w:pStyle w:val="Titre2"/>
      </w:pPr>
      <w:r w:rsidRPr="005508A7">
        <w:t xml:space="preserve"> </w:t>
      </w:r>
      <w:r w:rsidR="000621DB">
        <w:t>« Application Calypso Ré</w:t>
      </w:r>
      <w:r w:rsidR="00564255" w:rsidRPr="005508A7">
        <w:t xml:space="preserve">vision 3 » désigne une </w:t>
      </w:r>
      <w:r w:rsidR="000621DB" w:rsidRPr="005508A7">
        <w:t>Application conforme</w:t>
      </w:r>
      <w:r w:rsidR="00564255" w:rsidRPr="005508A7">
        <w:t xml:space="preserve"> aux Spécifications </w:t>
      </w:r>
      <w:r w:rsidR="000621DB">
        <w:t>Calypso Ré</w:t>
      </w:r>
      <w:r w:rsidR="00564255" w:rsidRPr="005508A7">
        <w:t>vision 3 .</w:t>
      </w:r>
    </w:p>
    <w:p w14:paraId="1D0CC19B" w14:textId="1232E071" w:rsidR="00564255" w:rsidRPr="005508A7" w:rsidRDefault="000621DB" w:rsidP="003F0A16">
      <w:pPr>
        <w:pStyle w:val="Titre2"/>
      </w:pPr>
      <w:r>
        <w:t>« Spécifications Calypso Ré</w:t>
      </w:r>
      <w:r w:rsidR="00564255" w:rsidRPr="005508A7">
        <w:t>vision 3 » désigne les documents de spécificat</w:t>
      </w:r>
      <w:r>
        <w:t>ion d'une Application Calypso Ré</w:t>
      </w:r>
      <w:r w:rsidR="00564255" w:rsidRPr="005508A7">
        <w:t xml:space="preserve">vision 3 dans un Objet portable, disponibles sur le site web de support technique de </w:t>
      </w:r>
      <w:r w:rsidR="00F8028D" w:rsidRPr="005508A7">
        <w:t>CNA</w:t>
      </w:r>
      <w:r w:rsidR="00564255" w:rsidRPr="005508A7">
        <w:t xml:space="preserve"> (http://www.calypsostandard.net/).</w:t>
      </w:r>
    </w:p>
    <w:p w14:paraId="0D6C0D69" w14:textId="67D3032B" w:rsidR="00564255" w:rsidRPr="005508A7" w:rsidRDefault="008F1B36" w:rsidP="009735FB">
      <w:pPr>
        <w:pStyle w:val="Titre2"/>
      </w:pPr>
      <w:r w:rsidRPr="005508A7">
        <w:t>« Spécifications AMC</w:t>
      </w:r>
      <w:r w:rsidR="00F8028D" w:rsidRPr="005508A7">
        <w:t xml:space="preserve"> </w:t>
      </w:r>
      <w:r w:rsidR="00564255" w:rsidRPr="005508A7">
        <w:t xml:space="preserve">» désigne le document de spécification de l’Application </w:t>
      </w:r>
      <w:r w:rsidR="000621DB" w:rsidRPr="005508A7">
        <w:rPr>
          <w:smallCaps/>
        </w:rPr>
        <w:t>AMC</w:t>
      </w:r>
      <w:r w:rsidR="000621DB" w:rsidRPr="005508A7">
        <w:t>,</w:t>
      </w:r>
      <w:r w:rsidR="00564255" w:rsidRPr="005508A7">
        <w:t xml:space="preserve"> d</w:t>
      </w:r>
      <w:r w:rsidRPr="005508A7">
        <w:t>ispo</w:t>
      </w:r>
      <w:r w:rsidR="000621DB">
        <w:t>nible sur le site de l’AFNOR</w:t>
      </w:r>
      <w:r w:rsidR="009735FB">
        <w:t xml:space="preserve"> </w:t>
      </w:r>
      <w:r w:rsidR="009735FB" w:rsidRPr="009735FB">
        <w:t>https://www.boutique.afnor.org/normes</w:t>
      </w:r>
      <w:r w:rsidR="00D7302D" w:rsidRPr="005508A7">
        <w:t>.</w:t>
      </w:r>
    </w:p>
    <w:p w14:paraId="054B2E2B" w14:textId="14E69C8A" w:rsidR="002A2B89" w:rsidRPr="005508A7" w:rsidRDefault="00F8028D" w:rsidP="003F0A16">
      <w:pPr>
        <w:pStyle w:val="Titre2"/>
      </w:pPr>
      <w:r w:rsidRPr="005508A7">
        <w:t xml:space="preserve"> </w:t>
      </w:r>
      <w:r w:rsidR="002A2B89" w:rsidRPr="005508A7">
        <w:t xml:space="preserve">« Clés </w:t>
      </w:r>
      <w:r w:rsidR="00790E8B" w:rsidRPr="005508A7">
        <w:rPr>
          <w:smallCaps/>
        </w:rPr>
        <w:t>AMC Commune</w:t>
      </w:r>
      <w:r w:rsidR="002A2B89" w:rsidRPr="005508A7">
        <w:t> » désigne les clés cryptographiques u</w:t>
      </w:r>
      <w:r w:rsidR="009735FB">
        <w:t xml:space="preserve">tilisées lors de la mise en œuvre </w:t>
      </w:r>
      <w:r w:rsidR="002A2B89" w:rsidRPr="005508A7">
        <w:t>de l’</w:t>
      </w:r>
      <w:r w:rsidR="00790E8B" w:rsidRPr="005508A7">
        <w:rPr>
          <w:smallCaps/>
        </w:rPr>
        <w:t>AMC Commune</w:t>
      </w:r>
      <w:r w:rsidR="002A2B89" w:rsidRPr="005508A7">
        <w:t>.</w:t>
      </w:r>
    </w:p>
    <w:p w14:paraId="3036E3DD" w14:textId="77777777" w:rsidR="001B7D3B" w:rsidRPr="005508A7" w:rsidRDefault="00B16609" w:rsidP="003F0A16">
      <w:pPr>
        <w:pStyle w:val="Titre2"/>
      </w:pPr>
      <w:r w:rsidRPr="005508A7">
        <w:t xml:space="preserve">« SAM (Secure Application </w:t>
      </w:r>
      <w:r w:rsidR="001B7D3B" w:rsidRPr="005508A7">
        <w:t xml:space="preserve">Module) », désigne </w:t>
      </w:r>
      <w:r w:rsidR="00521124" w:rsidRPr="005508A7">
        <w:t xml:space="preserve">un élément </w:t>
      </w:r>
      <w:r w:rsidR="001B7D3B" w:rsidRPr="005508A7">
        <w:t xml:space="preserve">de sécurité, </w:t>
      </w:r>
      <w:r w:rsidR="00E66975" w:rsidRPr="005508A7">
        <w:t xml:space="preserve">assimilable à </w:t>
      </w:r>
      <w:r w:rsidR="001B7D3B" w:rsidRPr="005508A7">
        <w:t>un coffre-fort électronique</w:t>
      </w:r>
      <w:r w:rsidR="00521124" w:rsidRPr="005508A7">
        <w:t>,</w:t>
      </w:r>
      <w:r w:rsidR="001B7D3B" w:rsidRPr="005508A7">
        <w:t xml:space="preserve"> dans lequel sont chargées les clés cryptographiques </w:t>
      </w:r>
      <w:r w:rsidR="00790E8B" w:rsidRPr="005508A7">
        <w:rPr>
          <w:smallCaps/>
        </w:rPr>
        <w:t>AMC Commune</w:t>
      </w:r>
      <w:r w:rsidR="00521124" w:rsidRPr="005508A7">
        <w:t xml:space="preserve"> sous quelque forme que ce soit. </w:t>
      </w:r>
    </w:p>
    <w:p w14:paraId="44D0709F" w14:textId="77777777" w:rsidR="003944E1" w:rsidRPr="005508A7" w:rsidRDefault="003944E1" w:rsidP="003F0A16">
      <w:pPr>
        <w:pStyle w:val="Titre2"/>
      </w:pPr>
      <w:r w:rsidRPr="005508A7">
        <w:t>« Système d'acceptation » désigne les éléments matériels et logicie</w:t>
      </w:r>
      <w:r w:rsidR="00F8028D" w:rsidRPr="005508A7">
        <w:t xml:space="preserve">ls qui permettent de traiter une </w:t>
      </w:r>
      <w:r w:rsidR="00790E8B" w:rsidRPr="005508A7">
        <w:rPr>
          <w:smallCaps/>
        </w:rPr>
        <w:t>AMC Commune</w:t>
      </w:r>
      <w:r w:rsidRPr="005508A7">
        <w:t>.</w:t>
      </w:r>
    </w:p>
    <w:p w14:paraId="0B7D6DB7" w14:textId="77777777" w:rsidR="007010E5" w:rsidRPr="005508A7" w:rsidRDefault="007010E5" w:rsidP="003F0A16">
      <w:pPr>
        <w:pStyle w:val="Titre2"/>
      </w:pPr>
      <w:r w:rsidRPr="005508A7">
        <w:lastRenderedPageBreak/>
        <w:t xml:space="preserve">« Emetteur </w:t>
      </w:r>
      <w:r w:rsidR="00790E8B" w:rsidRPr="005508A7">
        <w:rPr>
          <w:smallCaps/>
        </w:rPr>
        <w:t>AMC Commune</w:t>
      </w:r>
      <w:r w:rsidRPr="005508A7">
        <w:t> », désigne l’entité émettant de</w:t>
      </w:r>
      <w:r w:rsidR="0075428D" w:rsidRPr="005508A7">
        <w:t>s Objets portables contenant l’A</w:t>
      </w:r>
      <w:r w:rsidRPr="005508A7">
        <w:t xml:space="preserve">pplication </w:t>
      </w:r>
      <w:r w:rsidR="00790E8B" w:rsidRPr="005508A7">
        <w:rPr>
          <w:smallCaps/>
        </w:rPr>
        <w:t>AMC Commune</w:t>
      </w:r>
      <w:r w:rsidRPr="005508A7">
        <w:t xml:space="preserve"> et ses clés d’interopérabilité. </w:t>
      </w:r>
    </w:p>
    <w:p w14:paraId="65E6B2CF" w14:textId="64DF0018" w:rsidR="006911C1" w:rsidRPr="005508A7" w:rsidRDefault="006911C1" w:rsidP="003F0A16">
      <w:pPr>
        <w:pStyle w:val="Titre2"/>
      </w:pPr>
      <w:r w:rsidRPr="005508A7">
        <w:t xml:space="preserve">« Accepteur </w:t>
      </w:r>
      <w:r w:rsidR="00790E8B" w:rsidRPr="005508A7">
        <w:rPr>
          <w:smallCaps/>
        </w:rPr>
        <w:t>AMC Commune</w:t>
      </w:r>
      <w:r w:rsidRPr="005508A7">
        <w:t xml:space="preserve"> », désigne l’entité capable d’accepter sur son réseau des </w:t>
      </w:r>
      <w:r w:rsidR="00D53FC2" w:rsidRPr="005508A7">
        <w:t xml:space="preserve">Objets </w:t>
      </w:r>
      <w:r w:rsidR="00441481" w:rsidRPr="005508A7">
        <w:t>portables contenant l’A</w:t>
      </w:r>
      <w:r w:rsidRPr="005508A7">
        <w:t xml:space="preserve">pplication </w:t>
      </w:r>
      <w:r w:rsidR="00790E8B" w:rsidRPr="005508A7">
        <w:rPr>
          <w:smallCaps/>
        </w:rPr>
        <w:t>AMC Commune</w:t>
      </w:r>
      <w:r w:rsidR="007010E5" w:rsidRPr="005508A7">
        <w:t>.</w:t>
      </w:r>
      <w:r w:rsidR="00D74871" w:rsidRPr="005508A7">
        <w:t xml:space="preserve"> </w:t>
      </w:r>
    </w:p>
    <w:p w14:paraId="5E66AB47" w14:textId="76C38D9F" w:rsidR="007C43E9" w:rsidRPr="005508A7" w:rsidRDefault="007C43E9" w:rsidP="003F0A16">
      <w:pPr>
        <w:pStyle w:val="Titre2"/>
      </w:pPr>
      <w:r w:rsidRPr="005508A7">
        <w:t xml:space="preserve">« Gouvernance </w:t>
      </w:r>
      <w:r w:rsidR="006D1712" w:rsidRPr="005508A7">
        <w:rPr>
          <w:smallCaps/>
        </w:rPr>
        <w:t xml:space="preserve">AMC </w:t>
      </w:r>
      <w:r w:rsidR="009735FB" w:rsidRPr="005508A7">
        <w:rPr>
          <w:smallCaps/>
        </w:rPr>
        <w:t>COMMUNE »</w:t>
      </w:r>
      <w:r w:rsidRPr="005508A7">
        <w:t>,</w:t>
      </w:r>
      <w:r w:rsidR="00856928" w:rsidRPr="005508A7">
        <w:t xml:space="preserve"> désigne l’ensemble des organes, procédures et règles de décision permettant aux membres de </w:t>
      </w:r>
      <w:r w:rsidR="00790E8B" w:rsidRPr="005508A7">
        <w:t>ADCET</w:t>
      </w:r>
      <w:r w:rsidR="00856928" w:rsidRPr="005508A7">
        <w:t xml:space="preserve"> de piloter la gestion de </w:t>
      </w:r>
      <w:r w:rsidR="00790E8B" w:rsidRPr="005508A7">
        <w:rPr>
          <w:smallCaps/>
        </w:rPr>
        <w:t>AMC Commune</w:t>
      </w:r>
      <w:r w:rsidR="00856928" w:rsidRPr="005508A7">
        <w:t xml:space="preserve"> en consultant les utilisateurs,</w:t>
      </w:r>
      <w:r w:rsidR="00F2163D" w:rsidRPr="005508A7">
        <w:t xml:space="preserve"> </w:t>
      </w:r>
      <w:r w:rsidR="00856928" w:rsidRPr="005508A7">
        <w:t xml:space="preserve">pour en assurer le bon fonctionnement, la sécurité et l’évolutivité. </w:t>
      </w:r>
      <w:r w:rsidR="008C7444" w:rsidRPr="005508A7">
        <w:t>Elle</w:t>
      </w:r>
      <w:r w:rsidR="00856928" w:rsidRPr="005508A7">
        <w:t xml:space="preserve"> repose sur la création d'un collège au sein de </w:t>
      </w:r>
      <w:r w:rsidR="00790E8B" w:rsidRPr="005508A7">
        <w:t>ADCET</w:t>
      </w:r>
      <w:r w:rsidR="00856928" w:rsidRPr="005508A7">
        <w:t>, dit «</w:t>
      </w:r>
      <w:r w:rsidR="006D1712" w:rsidRPr="005508A7">
        <w:t> Collège AMC Commune</w:t>
      </w:r>
      <w:r w:rsidR="00856928" w:rsidRPr="005508A7">
        <w:t xml:space="preserve"> », auquel chaque partenaire </w:t>
      </w:r>
      <w:r w:rsidR="00790E8B" w:rsidRPr="005508A7">
        <w:rPr>
          <w:smallCaps/>
        </w:rPr>
        <w:t>AMC Commune</w:t>
      </w:r>
      <w:r w:rsidR="00856928" w:rsidRPr="005508A7">
        <w:t xml:space="preserve"> peut adhérer en direct ou en se faisant représenter par un autre membre</w:t>
      </w:r>
      <w:r w:rsidR="008C7444" w:rsidRPr="005508A7">
        <w:t>.</w:t>
      </w:r>
      <w:r w:rsidR="004765AC">
        <w:t xml:space="preserve"> En l’absence de ce collège, la gouvernance est assurée par le bureau de l’ADCET.</w:t>
      </w:r>
    </w:p>
    <w:p w14:paraId="23C5BB34" w14:textId="77777777" w:rsidR="005178FC" w:rsidRPr="005508A7" w:rsidRDefault="00C542AD" w:rsidP="003F0A16">
      <w:pPr>
        <w:pStyle w:val="Titre2"/>
        <w:rPr>
          <w:szCs w:val="24"/>
        </w:rPr>
      </w:pPr>
      <w:r w:rsidRPr="005508A7">
        <w:rPr>
          <w:szCs w:val="24"/>
        </w:rPr>
        <w:t>«</w:t>
      </w:r>
      <w:r w:rsidR="00114113" w:rsidRPr="005508A7">
        <w:rPr>
          <w:szCs w:val="24"/>
        </w:rPr>
        <w:t> </w:t>
      </w:r>
      <w:r w:rsidRPr="005508A7">
        <w:rPr>
          <w:szCs w:val="24"/>
        </w:rPr>
        <w:t xml:space="preserve">Informations </w:t>
      </w:r>
      <w:r w:rsidR="008D52F7" w:rsidRPr="005508A7">
        <w:rPr>
          <w:szCs w:val="24"/>
        </w:rPr>
        <w:t>confidentielles </w:t>
      </w:r>
      <w:r w:rsidRPr="005508A7">
        <w:rPr>
          <w:szCs w:val="24"/>
        </w:rPr>
        <w:t xml:space="preserve">» </w:t>
      </w:r>
      <w:r w:rsidR="0011367B" w:rsidRPr="005508A7">
        <w:t>désigne toute information marquée « confidentiel</w:t>
      </w:r>
      <w:r w:rsidR="005C3EE2" w:rsidRPr="005508A7">
        <w:t>le</w:t>
      </w:r>
      <w:r w:rsidR="0011367B" w:rsidRPr="005508A7">
        <w:t xml:space="preserve"> / </w:t>
      </w:r>
      <w:proofErr w:type="spellStart"/>
      <w:r w:rsidR="0011367B" w:rsidRPr="005508A7">
        <w:t>confidential</w:t>
      </w:r>
      <w:proofErr w:type="spellEnd"/>
      <w:r w:rsidR="0011367B" w:rsidRPr="005508A7">
        <w:t xml:space="preserve"> » ou « restreinte / </w:t>
      </w:r>
      <w:proofErr w:type="spellStart"/>
      <w:r w:rsidR="0011367B" w:rsidRPr="005508A7">
        <w:t>restricted</w:t>
      </w:r>
      <w:proofErr w:type="spellEnd"/>
      <w:r w:rsidR="0011367B" w:rsidRPr="005508A7">
        <w:t xml:space="preserve"> » transmise par </w:t>
      </w:r>
      <w:r w:rsidR="00790E8B" w:rsidRPr="005508A7">
        <w:t>ADCET</w:t>
      </w:r>
      <w:r w:rsidR="0011367B" w:rsidRPr="005508A7">
        <w:t xml:space="preserve"> dans le cadre </w:t>
      </w:r>
      <w:r w:rsidR="00046D6D" w:rsidRPr="005508A7">
        <w:t>de la présente convention</w:t>
      </w:r>
      <w:r w:rsidR="0011367B" w:rsidRPr="005508A7">
        <w:t>.</w:t>
      </w:r>
    </w:p>
    <w:p w14:paraId="73AB8FC1" w14:textId="77777777" w:rsidR="00DC7918" w:rsidRPr="005508A7" w:rsidRDefault="00602612" w:rsidP="00114113">
      <w:pPr>
        <w:widowControl w:val="0"/>
        <w:numPr>
          <w:ilvl w:val="0"/>
          <w:numId w:val="35"/>
        </w:numPr>
        <w:spacing w:before="240"/>
        <w:jc w:val="both"/>
        <w:outlineLvl w:val="0"/>
        <w:rPr>
          <w:b/>
          <w:szCs w:val="24"/>
          <w:lang w:val="fr-FR"/>
        </w:rPr>
      </w:pPr>
      <w:bookmarkStart w:id="4" w:name="_Toc349134454"/>
      <w:bookmarkStart w:id="5" w:name="_Toc349134502"/>
      <w:bookmarkStart w:id="6" w:name="_Toc488074633"/>
      <w:bookmarkEnd w:id="4"/>
      <w:bookmarkEnd w:id="5"/>
      <w:r w:rsidRPr="005508A7">
        <w:rPr>
          <w:b/>
          <w:szCs w:val="24"/>
          <w:lang w:val="fr-FR"/>
        </w:rPr>
        <w:t xml:space="preserve">Objet </w:t>
      </w:r>
      <w:r w:rsidR="00BC1314" w:rsidRPr="005508A7">
        <w:rPr>
          <w:b/>
          <w:szCs w:val="24"/>
          <w:lang w:val="fr-FR"/>
        </w:rPr>
        <w:t>de la convention</w:t>
      </w:r>
      <w:bookmarkEnd w:id="6"/>
    </w:p>
    <w:p w14:paraId="17B6E576" w14:textId="6ED32971" w:rsidR="00D7302D" w:rsidRPr="005508A7" w:rsidRDefault="00F04152" w:rsidP="003F0A16">
      <w:pPr>
        <w:pStyle w:val="Titre2"/>
      </w:pPr>
      <w:r w:rsidRPr="005508A7">
        <w:t>La présente convention, dite Convention d’usage de l’applicati</w:t>
      </w:r>
      <w:r w:rsidR="008F1B36" w:rsidRPr="005508A7">
        <w:t>on AMC</w:t>
      </w:r>
      <w:r w:rsidR="00790E8B" w:rsidRPr="005508A7">
        <w:t xml:space="preserve"> </w:t>
      </w:r>
      <w:r w:rsidR="006D2FF8" w:rsidRPr="005508A7">
        <w:t>Commune définit</w:t>
      </w:r>
      <w:r w:rsidR="007C6080" w:rsidRPr="005508A7">
        <w:t xml:space="preserve"> les conditions d'adhésion d'un</w:t>
      </w:r>
      <w:r w:rsidR="006D2FF8" w:rsidRPr="005508A7">
        <w:t xml:space="preserve"> nouveau partenaire</w:t>
      </w:r>
      <w:r w:rsidR="007C6080" w:rsidRPr="005508A7">
        <w:t xml:space="preserve">. </w:t>
      </w:r>
      <w:r w:rsidR="006D2FF8" w:rsidRPr="005508A7">
        <w:t>Au-delà</w:t>
      </w:r>
      <w:r w:rsidR="007C6080" w:rsidRPr="005508A7">
        <w:t xml:space="preserve"> des conditions de mise à disposition des composants </w:t>
      </w:r>
      <w:r w:rsidR="006D2FF8" w:rsidRPr="005508A7">
        <w:t>de l’</w:t>
      </w:r>
      <w:r w:rsidR="00790E8B" w:rsidRPr="005508A7">
        <w:rPr>
          <w:smallCaps/>
        </w:rPr>
        <w:t>AMC Commune</w:t>
      </w:r>
      <w:r w:rsidR="007C6080" w:rsidRPr="005508A7">
        <w:t>, elle constitue de fa</w:t>
      </w:r>
      <w:r w:rsidR="006D2FF8" w:rsidRPr="005508A7">
        <w:t xml:space="preserve">it une </w:t>
      </w:r>
      <w:r w:rsidR="006D1712" w:rsidRPr="005508A7">
        <w:t>charte entre</w:t>
      </w:r>
      <w:r w:rsidR="007C6080" w:rsidRPr="005508A7">
        <w:t xml:space="preserve"> les partenaires du système </w:t>
      </w:r>
      <w:r w:rsidR="001E2CB7" w:rsidRPr="005508A7">
        <w:t xml:space="preserve">dont elle garantit la </w:t>
      </w:r>
      <w:r w:rsidR="009735FB">
        <w:t xml:space="preserve">sécurité et la </w:t>
      </w:r>
      <w:r w:rsidR="001E2CB7" w:rsidRPr="005508A7">
        <w:t>pérennité.</w:t>
      </w:r>
    </w:p>
    <w:p w14:paraId="5E8DAD91" w14:textId="5157010F" w:rsidR="00BC1314" w:rsidRPr="005508A7" w:rsidRDefault="00F04152" w:rsidP="003F0A16">
      <w:pPr>
        <w:pStyle w:val="Titre2"/>
      </w:pPr>
      <w:r w:rsidRPr="005508A7">
        <w:t>Elle permet la mise</w:t>
      </w:r>
      <w:r w:rsidR="00046D6D" w:rsidRPr="005508A7">
        <w:t xml:space="preserve"> à disposition des C</w:t>
      </w:r>
      <w:r w:rsidR="00744981" w:rsidRPr="005508A7">
        <w:t xml:space="preserve">lés </w:t>
      </w:r>
      <w:r w:rsidR="00790E8B" w:rsidRPr="005508A7">
        <w:rPr>
          <w:smallCaps/>
        </w:rPr>
        <w:t>AMC Commune</w:t>
      </w:r>
      <w:r w:rsidR="00046D6D" w:rsidRPr="005508A7">
        <w:t xml:space="preserve"> et de l'Application </w:t>
      </w:r>
      <w:r w:rsidR="00790E8B" w:rsidRPr="005508A7">
        <w:rPr>
          <w:smallCaps/>
        </w:rPr>
        <w:t>AMC Commune</w:t>
      </w:r>
      <w:r w:rsidR="00744981" w:rsidRPr="005508A7">
        <w:t xml:space="preserve"> </w:t>
      </w:r>
      <w:r w:rsidRPr="005508A7">
        <w:t xml:space="preserve">et autorise </w:t>
      </w:r>
      <w:r w:rsidR="00744981" w:rsidRPr="005508A7">
        <w:t>la mise en œuvre de</w:t>
      </w:r>
      <w:r w:rsidR="001E2CB7" w:rsidRPr="005508A7">
        <w:rPr>
          <w:smallCaps/>
        </w:rPr>
        <w:t xml:space="preserve"> </w:t>
      </w:r>
      <w:r w:rsidR="00790E8B" w:rsidRPr="005508A7">
        <w:rPr>
          <w:smallCaps/>
        </w:rPr>
        <w:t>AMC Commune</w:t>
      </w:r>
      <w:r w:rsidR="00744981" w:rsidRPr="005508A7">
        <w:t xml:space="preserve"> à tous les niveaux : ém</w:t>
      </w:r>
      <w:r w:rsidR="00046D6D" w:rsidRPr="005508A7">
        <w:t>ission de supports contenant l’A</w:t>
      </w:r>
      <w:r w:rsidR="00744981" w:rsidRPr="005508A7">
        <w:t xml:space="preserve">pplication </w:t>
      </w:r>
      <w:r w:rsidR="00790E8B" w:rsidRPr="005508A7">
        <w:rPr>
          <w:smallCaps/>
        </w:rPr>
        <w:t>AMC Commune</w:t>
      </w:r>
      <w:r w:rsidR="00046D6D" w:rsidRPr="005508A7">
        <w:t xml:space="preserve"> et les C</w:t>
      </w:r>
      <w:r w:rsidR="00744981" w:rsidRPr="005508A7">
        <w:t xml:space="preserve">lés </w:t>
      </w:r>
      <w:r w:rsidR="00790E8B" w:rsidRPr="005508A7">
        <w:rPr>
          <w:smallCaps/>
        </w:rPr>
        <w:t>AMC Commune</w:t>
      </w:r>
      <w:r w:rsidR="00744981" w:rsidRPr="005508A7">
        <w:t xml:space="preserve">, chargement </w:t>
      </w:r>
      <w:r w:rsidR="00046D6D" w:rsidRPr="005508A7">
        <w:t>des C</w:t>
      </w:r>
      <w:r w:rsidR="00744981" w:rsidRPr="005508A7">
        <w:t xml:space="preserve">lés </w:t>
      </w:r>
      <w:r w:rsidR="00790E8B" w:rsidRPr="005508A7">
        <w:rPr>
          <w:smallCaps/>
        </w:rPr>
        <w:t>AMC Commune</w:t>
      </w:r>
      <w:r w:rsidR="00744981" w:rsidRPr="005508A7">
        <w:t xml:space="preserve"> dans les modules de sécurité des terminaux de personnalisation</w:t>
      </w:r>
      <w:r w:rsidR="009735FB">
        <w:t xml:space="preserve"> ou de traitement</w:t>
      </w:r>
      <w:r w:rsidR="00744981" w:rsidRPr="005508A7">
        <w:t>, chargement et validation des supports,</w:t>
      </w:r>
      <w:r w:rsidR="009735FB">
        <w:t xml:space="preserve"> chargement de données </w:t>
      </w:r>
      <w:r w:rsidR="00046D6D" w:rsidRPr="005508A7">
        <w:t xml:space="preserve"> dans l’A</w:t>
      </w:r>
      <w:r w:rsidR="00744981" w:rsidRPr="005508A7">
        <w:t xml:space="preserve">pplication </w:t>
      </w:r>
      <w:r w:rsidR="00790E8B" w:rsidRPr="005508A7">
        <w:rPr>
          <w:smallCaps/>
        </w:rPr>
        <w:t>AMC Commune</w:t>
      </w:r>
      <w:r w:rsidR="00744981" w:rsidRPr="005508A7">
        <w:t>, validation et contrô</w:t>
      </w:r>
      <w:r w:rsidR="009735FB">
        <w:t xml:space="preserve">le de données </w:t>
      </w:r>
      <w:r w:rsidR="00046D6D" w:rsidRPr="005508A7">
        <w:t xml:space="preserve"> contenu</w:t>
      </w:r>
      <w:r w:rsidR="009735FB">
        <w:t>e</w:t>
      </w:r>
      <w:r w:rsidR="00046D6D" w:rsidRPr="005508A7">
        <w:t>s dans l’A</w:t>
      </w:r>
      <w:r w:rsidR="00744981" w:rsidRPr="005508A7">
        <w:t xml:space="preserve">pplication </w:t>
      </w:r>
      <w:r w:rsidR="00790E8B" w:rsidRPr="005508A7">
        <w:rPr>
          <w:smallCaps/>
        </w:rPr>
        <w:t>AMC Commune</w:t>
      </w:r>
      <w:r w:rsidR="00BC1314" w:rsidRPr="005508A7">
        <w:t>.</w:t>
      </w:r>
    </w:p>
    <w:p w14:paraId="7C487B60" w14:textId="3903B2C0" w:rsidR="00360276" w:rsidRPr="005508A7" w:rsidRDefault="00360276" w:rsidP="003F0A16">
      <w:pPr>
        <w:pStyle w:val="Titre2"/>
      </w:pPr>
      <w:bookmarkStart w:id="7" w:name="OLE_LINK1"/>
      <w:bookmarkStart w:id="8" w:name="OLE_LINK2"/>
      <w:r w:rsidRPr="005508A7">
        <w:t xml:space="preserve">Par la présente convention, </w:t>
      </w:r>
      <w:r w:rsidR="00790E8B" w:rsidRPr="005508A7">
        <w:t>ADCET</w:t>
      </w:r>
      <w:r w:rsidRPr="005508A7">
        <w:t xml:space="preserve"> concède à l'</w:t>
      </w:r>
      <w:r w:rsidR="009677F2">
        <w:t>Entité Utilisatrice</w:t>
      </w:r>
      <w:r w:rsidRPr="005508A7">
        <w:t xml:space="preserve"> une licence non-exclusive, non-transférable, pour utiliser l’Application </w:t>
      </w:r>
      <w:r w:rsidR="00790E8B" w:rsidRPr="005508A7">
        <w:rPr>
          <w:smallCaps/>
        </w:rPr>
        <w:t>AMC Commune</w:t>
      </w:r>
      <w:r w:rsidRPr="005508A7">
        <w:t>. Cette licence comprend tous les droits requis par l’</w:t>
      </w:r>
      <w:r w:rsidR="009677F2">
        <w:t>Entité Utilisatrice</w:t>
      </w:r>
      <w:r w:rsidRPr="005508A7">
        <w:t xml:space="preserve"> pour :</w:t>
      </w:r>
    </w:p>
    <w:bookmarkEnd w:id="7"/>
    <w:bookmarkEnd w:id="8"/>
    <w:p w14:paraId="03B1FAB4" w14:textId="77777777" w:rsidR="00360276" w:rsidRPr="005508A7" w:rsidRDefault="00360276" w:rsidP="003F0A16">
      <w:pPr>
        <w:pStyle w:val="Titre2"/>
        <w:numPr>
          <w:ilvl w:val="0"/>
          <w:numId w:val="0"/>
        </w:numPr>
        <w:ind w:left="1134"/>
      </w:pPr>
      <w:r w:rsidRPr="005508A7">
        <w:t>(i)</w:t>
      </w:r>
      <w:r w:rsidR="00AF2C22" w:rsidRPr="005508A7">
        <w:tab/>
      </w:r>
      <w:r w:rsidRPr="005508A7">
        <w:t xml:space="preserve">l’exploitation et l’utilisation de l’application </w:t>
      </w:r>
      <w:r w:rsidR="00790E8B" w:rsidRPr="005508A7">
        <w:rPr>
          <w:smallCaps/>
        </w:rPr>
        <w:t>AMC Commune</w:t>
      </w:r>
      <w:r w:rsidRPr="005508A7">
        <w:t xml:space="preserve"> dans le cadre de ses </w:t>
      </w:r>
      <w:r w:rsidR="006D2FF8" w:rsidRPr="005508A7">
        <w:t>activités ;</w:t>
      </w:r>
    </w:p>
    <w:p w14:paraId="5DEB835C" w14:textId="1B486CEF" w:rsidR="00360276" w:rsidRPr="005508A7" w:rsidRDefault="00C34D1A" w:rsidP="003F0A16">
      <w:pPr>
        <w:pStyle w:val="Titre2"/>
        <w:numPr>
          <w:ilvl w:val="0"/>
          <w:numId w:val="0"/>
        </w:numPr>
        <w:ind w:left="1134"/>
      </w:pPr>
      <w:r w:rsidRPr="005508A7">
        <w:t>(ii)</w:t>
      </w:r>
      <w:r w:rsidR="009735FB">
        <w:t xml:space="preserve"> </w:t>
      </w:r>
      <w:r w:rsidR="00360276" w:rsidRPr="005508A7">
        <w:t xml:space="preserve">interfacer ou faire interfacer l’application </w:t>
      </w:r>
      <w:r w:rsidR="00790E8B" w:rsidRPr="005508A7">
        <w:rPr>
          <w:smallCaps/>
        </w:rPr>
        <w:t>AMC Commune</w:t>
      </w:r>
      <w:r w:rsidR="00360276" w:rsidRPr="005508A7">
        <w:t xml:space="preserve"> avec son propre S</w:t>
      </w:r>
      <w:r w:rsidRPr="005508A7">
        <w:t xml:space="preserve">ystème </w:t>
      </w:r>
      <w:r w:rsidR="00360276" w:rsidRPr="005508A7">
        <w:t xml:space="preserve">d'acceptation et l’intégrer ou la faire intégrer sur les </w:t>
      </w:r>
      <w:r w:rsidRPr="005508A7">
        <w:t>Objets portables</w:t>
      </w:r>
      <w:r w:rsidR="00360276" w:rsidRPr="005508A7">
        <w:t xml:space="preserve"> vendus à ses clients ; et</w:t>
      </w:r>
    </w:p>
    <w:p w14:paraId="2F1B5490" w14:textId="56629AB2" w:rsidR="00360276" w:rsidRPr="005508A7" w:rsidRDefault="00360276" w:rsidP="003F0A16">
      <w:pPr>
        <w:pStyle w:val="Titre2"/>
        <w:numPr>
          <w:ilvl w:val="0"/>
          <w:numId w:val="0"/>
        </w:numPr>
        <w:ind w:left="1134"/>
      </w:pPr>
      <w:r w:rsidRPr="005508A7">
        <w:t>(iii) une utilisation par ses clients.</w:t>
      </w:r>
    </w:p>
    <w:p w14:paraId="4687E09E" w14:textId="0A8ED5C8" w:rsidR="00F65C7B" w:rsidRPr="005508A7" w:rsidRDefault="00E64E9E" w:rsidP="003F0A16">
      <w:pPr>
        <w:pStyle w:val="Titre2"/>
        <w:numPr>
          <w:ilvl w:val="0"/>
          <w:numId w:val="0"/>
        </w:numPr>
        <w:ind w:left="567"/>
      </w:pPr>
      <w:r w:rsidRPr="005508A7">
        <w:t>Les droits ainsi c</w:t>
      </w:r>
      <w:r w:rsidR="008731C0" w:rsidRPr="005508A7">
        <w:t>onc</w:t>
      </w:r>
      <w:r w:rsidRPr="005508A7">
        <w:t xml:space="preserve">édés ne concernent que l'Application </w:t>
      </w:r>
      <w:r w:rsidR="00790E8B" w:rsidRPr="005508A7">
        <w:t>AMC Commune</w:t>
      </w:r>
      <w:r w:rsidRPr="005508A7">
        <w:t xml:space="preserve"> et en aucun cas les licences des brevets applicatifs Calypso</w:t>
      </w:r>
      <w:r w:rsidR="00CA3610">
        <w:t>.</w:t>
      </w:r>
      <w:r w:rsidRPr="005508A7">
        <w:t xml:space="preserve"> </w:t>
      </w:r>
    </w:p>
    <w:p w14:paraId="65C0F21A" w14:textId="42E1B191" w:rsidR="001E138B" w:rsidRPr="005508A7" w:rsidRDefault="00832332" w:rsidP="003F0A16">
      <w:pPr>
        <w:pStyle w:val="Titre2"/>
      </w:pPr>
      <w:r w:rsidRPr="005508A7">
        <w:t xml:space="preserve">La </w:t>
      </w:r>
      <w:r w:rsidR="009B3BF8" w:rsidRPr="005508A7">
        <w:t xml:space="preserve">présente convention définit les modalités de remise de </w:t>
      </w:r>
      <w:r w:rsidR="00B878DF" w:rsidRPr="005508A7">
        <w:t xml:space="preserve">l’Application </w:t>
      </w:r>
      <w:r w:rsidR="00790E8B" w:rsidRPr="005508A7">
        <w:rPr>
          <w:smallCaps/>
        </w:rPr>
        <w:t>AMC Commune</w:t>
      </w:r>
      <w:r w:rsidR="009B3BF8" w:rsidRPr="005508A7">
        <w:t xml:space="preserve"> et de ses clés cryptographiques à l’</w:t>
      </w:r>
      <w:r w:rsidR="009677F2">
        <w:t>Entité Utilisatrice</w:t>
      </w:r>
      <w:r w:rsidR="003A48E4" w:rsidRPr="005508A7">
        <w:t>,</w:t>
      </w:r>
      <w:r w:rsidR="009B3BF8" w:rsidRPr="005508A7">
        <w:t xml:space="preserve"> les règles d’usage à respecter</w:t>
      </w:r>
      <w:r w:rsidR="00AF2C22" w:rsidRPr="005508A7">
        <w:t xml:space="preserve"> et</w:t>
      </w:r>
      <w:r w:rsidR="003A48E4" w:rsidRPr="005508A7">
        <w:t xml:space="preserve"> ainsi que</w:t>
      </w:r>
      <w:r w:rsidR="00AF2C22" w:rsidRPr="005508A7">
        <w:t xml:space="preserve"> les mesures à prendre</w:t>
      </w:r>
      <w:r w:rsidR="007C6080" w:rsidRPr="005508A7">
        <w:t xml:space="preserve"> en cas de non-respect de ces règles.</w:t>
      </w:r>
    </w:p>
    <w:p w14:paraId="3614AE15" w14:textId="4B300F20" w:rsidR="001E138B" w:rsidRPr="005508A7" w:rsidRDefault="001E138B" w:rsidP="003F0A16">
      <w:pPr>
        <w:pStyle w:val="Titre2"/>
      </w:pPr>
      <w:r w:rsidRPr="005508A7">
        <w:t xml:space="preserve">La gestion des incidents, le traitement des évolutions de </w:t>
      </w:r>
      <w:r w:rsidR="00790E8B" w:rsidRPr="005508A7">
        <w:rPr>
          <w:smallCaps/>
        </w:rPr>
        <w:t>AMC Commune</w:t>
      </w:r>
      <w:r w:rsidRPr="005508A7">
        <w:t xml:space="preserve"> et leur</w:t>
      </w:r>
      <w:r w:rsidR="005C3EE2" w:rsidRPr="005508A7">
        <w:t>s</w:t>
      </w:r>
      <w:r w:rsidRPr="005508A7">
        <w:t xml:space="preserve"> conditions de mise en </w:t>
      </w:r>
      <w:r w:rsidR="005C3EE2" w:rsidRPr="005508A7">
        <w:t>œ</w:t>
      </w:r>
      <w:r w:rsidRPr="005508A7">
        <w:t xml:space="preserve">uvre ne </w:t>
      </w:r>
      <w:r w:rsidR="00C86ADB" w:rsidRPr="005508A7">
        <w:t>relèvent pas de la présente</w:t>
      </w:r>
      <w:r w:rsidRPr="005508A7">
        <w:t xml:space="preserve"> convention. Ces points sont tr</w:t>
      </w:r>
      <w:r w:rsidR="000F782F" w:rsidRPr="005508A7">
        <w:t>aités au sein de l’ADCET</w:t>
      </w:r>
      <w:r w:rsidR="007C43E9" w:rsidRPr="005508A7">
        <w:t xml:space="preserve"> </w:t>
      </w:r>
      <w:r w:rsidR="00497C04" w:rsidRPr="005508A7">
        <w:t>dans</w:t>
      </w:r>
      <w:r w:rsidR="007C43E9" w:rsidRPr="005508A7">
        <w:t xml:space="preserve"> laquelle l'</w:t>
      </w:r>
      <w:r w:rsidR="009677F2">
        <w:t>Entité Utilisatrice</w:t>
      </w:r>
      <w:r w:rsidR="007C43E9" w:rsidRPr="005508A7">
        <w:t xml:space="preserve"> signataire de la présente convention peut</w:t>
      </w:r>
      <w:r w:rsidR="00497C04" w:rsidRPr="005508A7">
        <w:t>,</w:t>
      </w:r>
      <w:r w:rsidR="007C43E9" w:rsidRPr="005508A7">
        <w:t xml:space="preserve"> </w:t>
      </w:r>
      <w:r w:rsidR="00497C04" w:rsidRPr="005508A7">
        <w:t>de droit, être</w:t>
      </w:r>
      <w:r w:rsidR="007C43E9" w:rsidRPr="005508A7">
        <w:t xml:space="preserve"> représentée.</w:t>
      </w:r>
    </w:p>
    <w:p w14:paraId="63A5C734" w14:textId="77777777" w:rsidR="00F30E0D" w:rsidRPr="005508A7" w:rsidRDefault="00F30E0D" w:rsidP="00F30E0D">
      <w:pPr>
        <w:rPr>
          <w:lang w:val="fr-FR"/>
        </w:rPr>
      </w:pPr>
    </w:p>
    <w:p w14:paraId="1EB14CE4" w14:textId="191094ED" w:rsidR="00F30E0D" w:rsidRPr="005508A7" w:rsidRDefault="00F30E0D" w:rsidP="00F30E0D">
      <w:pPr>
        <w:pStyle w:val="Titre1"/>
      </w:pPr>
      <w:bookmarkStart w:id="9" w:name="_Toc488074634"/>
      <w:r w:rsidRPr="005508A7">
        <w:lastRenderedPageBreak/>
        <w:t>Con</w:t>
      </w:r>
      <w:bookmarkEnd w:id="9"/>
      <w:r w:rsidR="00226D3C">
        <w:t xml:space="preserve">ditions financières </w:t>
      </w:r>
    </w:p>
    <w:p w14:paraId="135B51B1" w14:textId="77777777" w:rsidR="00F97061" w:rsidRDefault="00F97061" w:rsidP="00F30E0D">
      <w:pPr>
        <w:rPr>
          <w:lang w:val="fr-FR"/>
        </w:rPr>
      </w:pPr>
    </w:p>
    <w:p w14:paraId="5ED85C4C" w14:textId="2AC7D3A1" w:rsidR="00226D3C" w:rsidRDefault="00226D3C" w:rsidP="00F30E0D">
      <w:pPr>
        <w:rPr>
          <w:lang w:val="fr-FR"/>
        </w:rPr>
      </w:pPr>
      <w:r>
        <w:rPr>
          <w:lang w:val="fr-FR"/>
        </w:rPr>
        <w:t>Le fonctionnement d’un projet autour de l’AMC Commune n’est possible que dans la mesure où l’ADCET mobilise les moyens nécessaires au support au développement à la sécurisation et à la gouvernance de l’AMC Commune, ce qui représente une charge significative.</w:t>
      </w:r>
    </w:p>
    <w:p w14:paraId="3C53673E" w14:textId="25898E43" w:rsidR="00F30E0D" w:rsidRDefault="00226D3C" w:rsidP="00F30E0D">
      <w:pPr>
        <w:rPr>
          <w:lang w:val="fr-FR"/>
        </w:rPr>
      </w:pPr>
      <w:r>
        <w:rPr>
          <w:lang w:val="fr-FR"/>
        </w:rPr>
        <w:t>En conséquence dans la mesure où l’usage de l’AMC Commune est réservé à des services publics et non commerciaux,</w:t>
      </w:r>
      <w:r w:rsidR="00B142ED" w:rsidRPr="005508A7">
        <w:rPr>
          <w:lang w:val="fr-FR"/>
        </w:rPr>
        <w:t xml:space="preserve"> </w:t>
      </w:r>
      <w:r>
        <w:rPr>
          <w:lang w:val="fr-FR"/>
        </w:rPr>
        <w:t xml:space="preserve">la convention </w:t>
      </w:r>
      <w:r w:rsidR="00B142ED" w:rsidRPr="005508A7">
        <w:rPr>
          <w:lang w:val="fr-FR"/>
        </w:rPr>
        <w:t xml:space="preserve">est consentie à titre gratuit à condition </w:t>
      </w:r>
      <w:r w:rsidR="009735FB" w:rsidRPr="005508A7">
        <w:rPr>
          <w:lang w:val="fr-FR"/>
        </w:rPr>
        <w:t>que l’</w:t>
      </w:r>
      <w:r w:rsidR="009677F2">
        <w:rPr>
          <w:lang w:val="fr-FR"/>
        </w:rPr>
        <w:t>Entité Utilisatrice</w:t>
      </w:r>
      <w:r w:rsidR="00B142ED" w:rsidRPr="005508A7">
        <w:rPr>
          <w:lang w:val="fr-FR"/>
        </w:rPr>
        <w:t xml:space="preserve"> soit membre de l’ADCET et à jour de ses cotisations</w:t>
      </w:r>
      <w:r>
        <w:rPr>
          <w:lang w:val="fr-FR"/>
        </w:rPr>
        <w:t>.</w:t>
      </w:r>
    </w:p>
    <w:p w14:paraId="29236A98" w14:textId="5203F15B" w:rsidR="00226D3C" w:rsidRDefault="00226D3C" w:rsidP="00F30E0D">
      <w:pPr>
        <w:rPr>
          <w:lang w:val="fr-FR"/>
        </w:rPr>
      </w:pPr>
      <w:r>
        <w:rPr>
          <w:lang w:val="fr-FR"/>
        </w:rPr>
        <w:t xml:space="preserve">Dans les cas où l’usage de l’AMC Commune contribue à générer des revenus commerciaux pour l’Entité Utilisatrice, une redevance devra être prévue par annexe à la convention entre l’ADCET et l’Entité Utilisatrice. </w:t>
      </w:r>
    </w:p>
    <w:p w14:paraId="54029A8D" w14:textId="6689A2CA" w:rsidR="00683697" w:rsidRPr="005508A7" w:rsidRDefault="00683697" w:rsidP="00167597">
      <w:pPr>
        <w:jc w:val="both"/>
        <w:rPr>
          <w:szCs w:val="24"/>
          <w:lang w:val="fr-FR"/>
        </w:rPr>
      </w:pPr>
    </w:p>
    <w:p w14:paraId="4C93CBE2" w14:textId="1B2DD4C9" w:rsidR="00AB5112" w:rsidRPr="005508A7" w:rsidRDefault="005E3198" w:rsidP="00B142ED">
      <w:pPr>
        <w:keepNext/>
        <w:numPr>
          <w:ilvl w:val="0"/>
          <w:numId w:val="35"/>
        </w:numPr>
        <w:jc w:val="both"/>
        <w:outlineLvl w:val="0"/>
        <w:rPr>
          <w:b/>
          <w:szCs w:val="24"/>
          <w:lang w:val="fr-FR"/>
        </w:rPr>
      </w:pPr>
      <w:bookmarkStart w:id="10" w:name="_Toc488074635"/>
      <w:r w:rsidRPr="005508A7">
        <w:rPr>
          <w:b/>
          <w:szCs w:val="24"/>
          <w:lang w:val="fr-FR"/>
        </w:rPr>
        <w:t>Obligation</w:t>
      </w:r>
      <w:r w:rsidR="000A1916" w:rsidRPr="005508A7">
        <w:rPr>
          <w:b/>
          <w:szCs w:val="24"/>
          <w:lang w:val="fr-FR"/>
        </w:rPr>
        <w:t>s</w:t>
      </w:r>
      <w:r w:rsidRPr="005508A7">
        <w:rPr>
          <w:b/>
          <w:szCs w:val="24"/>
          <w:lang w:val="fr-FR"/>
        </w:rPr>
        <w:t xml:space="preserve"> de l’</w:t>
      </w:r>
      <w:r w:rsidR="009677F2">
        <w:rPr>
          <w:b/>
          <w:szCs w:val="24"/>
          <w:lang w:val="fr-FR"/>
        </w:rPr>
        <w:t>Entité Utilisatrice</w:t>
      </w:r>
      <w:bookmarkEnd w:id="10"/>
    </w:p>
    <w:p w14:paraId="4C5A1EC1" w14:textId="77777777" w:rsidR="00B142ED" w:rsidRPr="005508A7" w:rsidRDefault="00B142ED" w:rsidP="00B142ED">
      <w:pPr>
        <w:rPr>
          <w:lang w:val="fr-FR"/>
        </w:rPr>
      </w:pPr>
    </w:p>
    <w:p w14:paraId="5D018D7F" w14:textId="12D3E3D6" w:rsidR="005318B6" w:rsidRPr="005508A7" w:rsidRDefault="005318B6" w:rsidP="00AB5112">
      <w:pPr>
        <w:jc w:val="both"/>
        <w:rPr>
          <w:szCs w:val="24"/>
          <w:lang w:val="fr-FR"/>
        </w:rPr>
      </w:pPr>
      <w:r w:rsidRPr="005508A7">
        <w:rPr>
          <w:szCs w:val="24"/>
          <w:lang w:val="fr-FR"/>
        </w:rPr>
        <w:t>L’</w:t>
      </w:r>
      <w:r w:rsidR="009677F2">
        <w:rPr>
          <w:szCs w:val="24"/>
          <w:lang w:val="fr-FR"/>
        </w:rPr>
        <w:t>Entité Utilisatrice</w:t>
      </w:r>
      <w:r w:rsidRPr="005508A7">
        <w:rPr>
          <w:szCs w:val="24"/>
          <w:lang w:val="fr-FR"/>
        </w:rPr>
        <w:t xml:space="preserve"> s’engage à :</w:t>
      </w:r>
    </w:p>
    <w:p w14:paraId="1F9E1D4D" w14:textId="77777777" w:rsidR="003C3579" w:rsidRPr="005508A7" w:rsidRDefault="003944E1" w:rsidP="003F0A16">
      <w:pPr>
        <w:pStyle w:val="Titre2"/>
      </w:pPr>
      <w:r w:rsidRPr="005508A7">
        <w:t xml:space="preserve">Respecter intégralement les règles de fonctionnement décrites dans les </w:t>
      </w:r>
      <w:r w:rsidR="003C3579" w:rsidRPr="005508A7">
        <w:t xml:space="preserve">Spécifications </w:t>
      </w:r>
      <w:r w:rsidR="00790E8B" w:rsidRPr="005508A7">
        <w:rPr>
          <w:smallCaps/>
        </w:rPr>
        <w:t>AMC Commune</w:t>
      </w:r>
      <w:r w:rsidR="003C3579" w:rsidRPr="005508A7">
        <w:rPr>
          <w:smallCaps/>
        </w:rPr>
        <w:t xml:space="preserve">, </w:t>
      </w:r>
      <w:r w:rsidR="003C3579" w:rsidRPr="005508A7">
        <w:t xml:space="preserve">que ce soit pour l'émission ou l'acceptation </w:t>
      </w:r>
      <w:r w:rsidR="00245F5D" w:rsidRPr="005508A7">
        <w:t xml:space="preserve">des </w:t>
      </w:r>
      <w:r w:rsidR="003C3579" w:rsidRPr="005508A7">
        <w:t xml:space="preserve">Objets portables </w:t>
      </w:r>
      <w:r w:rsidR="00790E8B" w:rsidRPr="005508A7">
        <w:rPr>
          <w:smallCaps/>
        </w:rPr>
        <w:t>AMC Commune</w:t>
      </w:r>
      <w:r w:rsidR="00046D6D" w:rsidRPr="005508A7">
        <w:t>.</w:t>
      </w:r>
    </w:p>
    <w:p w14:paraId="0FD6D67C" w14:textId="78DFD790" w:rsidR="003944E1" w:rsidRPr="005508A7" w:rsidRDefault="003944E1" w:rsidP="003F0A16">
      <w:pPr>
        <w:pStyle w:val="Titre2"/>
      </w:pPr>
      <w:r w:rsidRPr="005508A7">
        <w:t xml:space="preserve">N'émettre </w:t>
      </w:r>
      <w:r w:rsidR="007C6080" w:rsidRPr="005508A7">
        <w:t>l'</w:t>
      </w:r>
      <w:r w:rsidRPr="005508A7">
        <w:t xml:space="preserve">Application </w:t>
      </w:r>
      <w:r w:rsidR="00790E8B" w:rsidRPr="005508A7">
        <w:rPr>
          <w:smallCaps/>
        </w:rPr>
        <w:t>AMC Commune</w:t>
      </w:r>
      <w:r w:rsidRPr="005508A7">
        <w:rPr>
          <w:smallCaps/>
        </w:rPr>
        <w:t xml:space="preserve"> </w:t>
      </w:r>
      <w:r w:rsidRPr="005508A7">
        <w:t>que</w:t>
      </w:r>
      <w:r w:rsidRPr="005508A7">
        <w:rPr>
          <w:smallCaps/>
        </w:rPr>
        <w:t xml:space="preserve"> </w:t>
      </w:r>
      <w:r w:rsidRPr="005508A7">
        <w:t xml:space="preserve">dans </w:t>
      </w:r>
      <w:r w:rsidR="00967496" w:rsidRPr="005508A7">
        <w:t>des Objets portables ayant reçu</w:t>
      </w:r>
      <w:r w:rsidRPr="005508A7">
        <w:t xml:space="preserve"> un</w:t>
      </w:r>
      <w:r w:rsidR="00856928" w:rsidRPr="005508A7">
        <w:t xml:space="preserve"> </w:t>
      </w:r>
      <w:r w:rsidRPr="005508A7">
        <w:t>Cer</w:t>
      </w:r>
      <w:r w:rsidR="009735FB">
        <w:t>tificat de conformité Calypso Ré</w:t>
      </w:r>
      <w:r w:rsidRPr="005508A7">
        <w:t>vision 3.</w:t>
      </w:r>
    </w:p>
    <w:p w14:paraId="3FEF1FC6" w14:textId="743491E7" w:rsidR="00046D6D" w:rsidRPr="005508A7" w:rsidRDefault="00A3234D" w:rsidP="003F0A16">
      <w:pPr>
        <w:pStyle w:val="Titre2"/>
      </w:pPr>
      <w:r w:rsidRPr="005508A7">
        <w:t xml:space="preserve">Mentionner, sur tout Objet portable </w:t>
      </w:r>
      <w:r w:rsidR="00790E8B" w:rsidRPr="005508A7">
        <w:rPr>
          <w:smallCaps/>
        </w:rPr>
        <w:t>AMC Commune</w:t>
      </w:r>
      <w:r w:rsidRPr="005508A7">
        <w:t xml:space="preserve">, par le logo </w:t>
      </w:r>
      <w:r w:rsidR="00424CD7" w:rsidRPr="005508A7">
        <w:t xml:space="preserve">disponible auprès de </w:t>
      </w:r>
      <w:r w:rsidR="00790E8B" w:rsidRPr="005508A7">
        <w:t>ADCET</w:t>
      </w:r>
      <w:r w:rsidR="009245E0">
        <w:t>, la présence de l’AMC commune dans l’Objet Portable</w:t>
      </w:r>
      <w:r w:rsidRPr="005508A7">
        <w:t>.</w:t>
      </w:r>
      <w:r w:rsidR="003944E1" w:rsidRPr="005508A7">
        <w:t xml:space="preserve"> Cette disposition pourra toutefois être adaptée pour les téléphones mobiles NFC.</w:t>
      </w:r>
      <w:r w:rsidR="009245E0">
        <w:t xml:space="preserve"> Elle ne vaut que pour les Objets portables dont la production a été lancée après la date de signature de la présente convention.</w:t>
      </w:r>
    </w:p>
    <w:p w14:paraId="53A2C8C5" w14:textId="77777777" w:rsidR="00F46577" w:rsidRPr="005508A7" w:rsidRDefault="005C3EE2" w:rsidP="003F0A16">
      <w:pPr>
        <w:pStyle w:val="Titre2"/>
      </w:pPr>
      <w:r w:rsidRPr="005508A7">
        <w:t>Ê</w:t>
      </w:r>
      <w:r w:rsidR="00F46577" w:rsidRPr="005508A7">
        <w:t xml:space="preserve">tre tout particulièrement attentive aux procédures de sécurité internes relatives à la conservation des </w:t>
      </w:r>
      <w:r w:rsidR="00521124" w:rsidRPr="005508A7">
        <w:t>SAM</w:t>
      </w:r>
      <w:r w:rsidR="00F46577" w:rsidRPr="005508A7">
        <w:t xml:space="preserve"> et à leur inventorisation permanente.</w:t>
      </w:r>
    </w:p>
    <w:p w14:paraId="26FCFF3D" w14:textId="77777777" w:rsidR="00F46577" w:rsidRPr="005508A7" w:rsidRDefault="004F6BE5" w:rsidP="003F0A16">
      <w:pPr>
        <w:pStyle w:val="Titre2"/>
      </w:pPr>
      <w:r w:rsidRPr="005508A7">
        <w:rPr>
          <w:iCs/>
        </w:rPr>
        <w:t>S</w:t>
      </w:r>
      <w:r w:rsidR="00F46577" w:rsidRPr="005508A7">
        <w:t xml:space="preserve">ignaler à </w:t>
      </w:r>
      <w:r w:rsidR="00790E8B" w:rsidRPr="005508A7">
        <w:t>ADCET</w:t>
      </w:r>
      <w:r w:rsidR="00F46577" w:rsidRPr="005508A7">
        <w:t xml:space="preserve"> toute perte ou disparition d’un </w:t>
      </w:r>
      <w:r w:rsidR="00521124" w:rsidRPr="005508A7">
        <w:t>SAM</w:t>
      </w:r>
      <w:r w:rsidR="00F46577" w:rsidRPr="005508A7">
        <w:t>.</w:t>
      </w:r>
    </w:p>
    <w:p w14:paraId="52D8A08C" w14:textId="77777777" w:rsidR="002A48AE" w:rsidRPr="005508A7" w:rsidRDefault="004F6BE5" w:rsidP="003F0A16">
      <w:pPr>
        <w:pStyle w:val="Titre2"/>
      </w:pPr>
      <w:r w:rsidRPr="005508A7">
        <w:t>R</w:t>
      </w:r>
      <w:r w:rsidR="004B5C6B" w:rsidRPr="005508A7">
        <w:t xml:space="preserve">especter les règles de l'art en matière de sécurité des systèmes d'informations, </w:t>
      </w:r>
      <w:r w:rsidR="005034D9" w:rsidRPr="005508A7">
        <w:t>pour</w:t>
      </w:r>
      <w:r w:rsidR="004B5C6B" w:rsidRPr="005508A7">
        <w:t xml:space="preserve"> ce qui concerne l'utilisation des Clés </w:t>
      </w:r>
      <w:r w:rsidR="00790E8B" w:rsidRPr="005508A7">
        <w:rPr>
          <w:smallCaps/>
        </w:rPr>
        <w:t>AMC Commune</w:t>
      </w:r>
      <w:r w:rsidR="00654A6F" w:rsidRPr="005508A7">
        <w:t>.</w:t>
      </w:r>
    </w:p>
    <w:p w14:paraId="5B940F72" w14:textId="77777777" w:rsidR="002A48AE" w:rsidRPr="005508A7" w:rsidRDefault="004F6BE5" w:rsidP="003F0A16">
      <w:pPr>
        <w:pStyle w:val="Titre2"/>
      </w:pPr>
      <w:r w:rsidRPr="005508A7">
        <w:rPr>
          <w:iCs/>
        </w:rPr>
        <w:t>N</w:t>
      </w:r>
      <w:r w:rsidR="002A48AE" w:rsidRPr="005508A7">
        <w:rPr>
          <w:iCs/>
        </w:rPr>
        <w:t>e pas</w:t>
      </w:r>
      <w:r w:rsidR="002A48AE" w:rsidRPr="005508A7">
        <w:t xml:space="preserve"> tr</w:t>
      </w:r>
      <w:r w:rsidR="00C82C24" w:rsidRPr="005508A7">
        <w:t>ansférer son droit d’usage des C</w:t>
      </w:r>
      <w:r w:rsidR="002A48AE" w:rsidRPr="005508A7">
        <w:t xml:space="preserve">lés </w:t>
      </w:r>
      <w:r w:rsidR="00790E8B" w:rsidRPr="005508A7">
        <w:rPr>
          <w:smallCaps/>
        </w:rPr>
        <w:t>AMC Commune</w:t>
      </w:r>
      <w:r w:rsidR="002A48AE" w:rsidRPr="005508A7">
        <w:t xml:space="preserve"> à autrui sans l’autorisation expresse de </w:t>
      </w:r>
      <w:r w:rsidR="00790E8B" w:rsidRPr="005508A7">
        <w:t>ADCET</w:t>
      </w:r>
      <w:r w:rsidR="002A48AE" w:rsidRPr="005508A7">
        <w:t>.</w:t>
      </w:r>
    </w:p>
    <w:p w14:paraId="5A217A87" w14:textId="067A8D58" w:rsidR="0006563E" w:rsidRPr="005508A7" w:rsidRDefault="0006563E" w:rsidP="003F0A16">
      <w:pPr>
        <w:pStyle w:val="Titre2"/>
      </w:pPr>
      <w:r w:rsidRPr="005508A7">
        <w:rPr>
          <w:iCs/>
        </w:rPr>
        <w:t xml:space="preserve">Ne </w:t>
      </w:r>
      <w:r w:rsidR="000423E8" w:rsidRPr="005508A7">
        <w:rPr>
          <w:iCs/>
        </w:rPr>
        <w:t xml:space="preserve">pas </w:t>
      </w:r>
      <w:r w:rsidRPr="005508A7">
        <w:rPr>
          <w:iCs/>
        </w:rPr>
        <w:t>utiliser les</w:t>
      </w:r>
      <w:r w:rsidRPr="005508A7">
        <w:t xml:space="preserve"> Clés </w:t>
      </w:r>
      <w:r w:rsidR="00790E8B" w:rsidRPr="005508A7">
        <w:rPr>
          <w:smallCaps/>
        </w:rPr>
        <w:t>AMC Commune</w:t>
      </w:r>
      <w:r w:rsidRPr="005508A7">
        <w:t xml:space="preserve"> pour un autre usage que la gestion de l'application </w:t>
      </w:r>
      <w:r w:rsidR="00790E8B" w:rsidRPr="005508A7">
        <w:rPr>
          <w:smallCaps/>
        </w:rPr>
        <w:t>AMC Commune</w:t>
      </w:r>
      <w:r w:rsidR="00345473" w:rsidRPr="005508A7">
        <w:t xml:space="preserve"> sans un accord explicite de </w:t>
      </w:r>
      <w:r w:rsidR="00790E8B" w:rsidRPr="005508A7">
        <w:t>ADCET</w:t>
      </w:r>
      <w:r w:rsidR="00345473" w:rsidRPr="005508A7">
        <w:t>.</w:t>
      </w:r>
    </w:p>
    <w:p w14:paraId="268D1AA6" w14:textId="4046954E" w:rsidR="00F30E0D" w:rsidRDefault="00F30E0D" w:rsidP="00203A6A">
      <w:pPr>
        <w:pStyle w:val="Titre2"/>
      </w:pPr>
      <w:r w:rsidRPr="005508A7">
        <w:t>Dans le cas d’écriture de données personnelles dans l’</w:t>
      </w:r>
      <w:r w:rsidRPr="005508A7">
        <w:rPr>
          <w:smallCaps/>
        </w:rPr>
        <w:t>AMC Commune</w:t>
      </w:r>
      <w:r w:rsidR="00203A6A" w:rsidRPr="005508A7">
        <w:rPr>
          <w:smallCaps/>
        </w:rPr>
        <w:t xml:space="preserve">, </w:t>
      </w:r>
      <w:r w:rsidR="00203A6A" w:rsidRPr="005508A7">
        <w:t>prendre toutes les dispositions nécessaires pour s’assurer de l’authenticité des informations concernées.</w:t>
      </w:r>
    </w:p>
    <w:p w14:paraId="51667F62" w14:textId="56CDA810" w:rsidR="00BD62DF" w:rsidRPr="00F23989" w:rsidRDefault="00F23989" w:rsidP="00BD62DF">
      <w:pPr>
        <w:pStyle w:val="Titre2"/>
      </w:pPr>
      <w:r w:rsidRPr="007474FB">
        <w:t xml:space="preserve">Respecter </w:t>
      </w:r>
      <w:r>
        <w:t xml:space="preserve">et faire respecter </w:t>
      </w:r>
      <w:r w:rsidRPr="007474FB">
        <w:t xml:space="preserve">les mécanismes de lecture </w:t>
      </w:r>
      <w:r>
        <w:t xml:space="preserve">et de conservation ( un seul par système d’informations) </w:t>
      </w:r>
      <w:r w:rsidRPr="007474FB">
        <w:t>d'un identifiant unique conforme au secteur d'activ</w:t>
      </w:r>
      <w:r>
        <w:t>ité défini par la CNIL dans la</w:t>
      </w:r>
      <w:r w:rsidRPr="007474FB">
        <w:rPr>
          <w:spacing w:val="-13"/>
        </w:rPr>
        <w:t xml:space="preserve"> </w:t>
      </w:r>
      <w:r w:rsidRPr="007474FB">
        <w:t>R</w:t>
      </w:r>
      <w:r>
        <w:t>U-030</w:t>
      </w:r>
    </w:p>
    <w:p w14:paraId="6431B37B" w14:textId="77777777" w:rsidR="00B878DF" w:rsidRPr="005508A7" w:rsidRDefault="00B878DF" w:rsidP="00A518A9">
      <w:pPr>
        <w:rPr>
          <w:szCs w:val="24"/>
          <w:lang w:val="fr-FR"/>
        </w:rPr>
      </w:pPr>
    </w:p>
    <w:p w14:paraId="61BF7090" w14:textId="77777777" w:rsidR="00BD62DF" w:rsidRPr="005508A7" w:rsidRDefault="00BD62DF" w:rsidP="00A518A9">
      <w:pPr>
        <w:keepNext/>
        <w:numPr>
          <w:ilvl w:val="0"/>
          <w:numId w:val="35"/>
        </w:numPr>
        <w:ind w:left="357" w:hanging="357"/>
        <w:jc w:val="both"/>
        <w:outlineLvl w:val="0"/>
        <w:rPr>
          <w:b/>
          <w:szCs w:val="24"/>
          <w:lang w:val="fr-FR"/>
        </w:rPr>
      </w:pPr>
      <w:bookmarkStart w:id="11" w:name="_Toc488074636"/>
      <w:r w:rsidRPr="005508A7">
        <w:rPr>
          <w:b/>
          <w:szCs w:val="24"/>
          <w:lang w:val="fr-FR"/>
        </w:rPr>
        <w:t xml:space="preserve">Obligations de </w:t>
      </w:r>
      <w:r w:rsidR="00790E8B" w:rsidRPr="005508A7">
        <w:rPr>
          <w:b/>
          <w:szCs w:val="24"/>
          <w:lang w:val="fr-FR"/>
        </w:rPr>
        <w:t>ADCET</w:t>
      </w:r>
      <w:bookmarkEnd w:id="11"/>
    </w:p>
    <w:p w14:paraId="084E4053" w14:textId="77777777" w:rsidR="008D3514" w:rsidRPr="005508A7" w:rsidRDefault="008D3514" w:rsidP="00794AB7">
      <w:pPr>
        <w:spacing w:before="120"/>
        <w:rPr>
          <w:szCs w:val="24"/>
          <w:lang w:val="fr-FR"/>
        </w:rPr>
      </w:pPr>
    </w:p>
    <w:p w14:paraId="3D0654DE" w14:textId="77777777" w:rsidR="00BD62DF" w:rsidRPr="005508A7" w:rsidRDefault="00790E8B" w:rsidP="00BD62DF">
      <w:pPr>
        <w:jc w:val="both"/>
        <w:rPr>
          <w:szCs w:val="24"/>
          <w:lang w:val="fr-FR"/>
        </w:rPr>
      </w:pPr>
      <w:r w:rsidRPr="005508A7">
        <w:rPr>
          <w:szCs w:val="24"/>
          <w:lang w:val="fr-FR"/>
        </w:rPr>
        <w:t>ADCET</w:t>
      </w:r>
      <w:r w:rsidR="00BD62DF" w:rsidRPr="005508A7">
        <w:rPr>
          <w:szCs w:val="24"/>
          <w:lang w:val="fr-FR"/>
        </w:rPr>
        <w:t xml:space="preserve"> </w:t>
      </w:r>
      <w:r w:rsidR="006D2FF8" w:rsidRPr="005508A7">
        <w:rPr>
          <w:szCs w:val="24"/>
          <w:lang w:val="fr-FR"/>
        </w:rPr>
        <w:t>s’engage</w:t>
      </w:r>
      <w:r w:rsidR="00BD62DF" w:rsidRPr="005508A7">
        <w:rPr>
          <w:szCs w:val="24"/>
          <w:lang w:val="fr-FR"/>
        </w:rPr>
        <w:t xml:space="preserve"> </w:t>
      </w:r>
      <w:r w:rsidR="006D2FF8" w:rsidRPr="005508A7">
        <w:rPr>
          <w:szCs w:val="24"/>
          <w:lang w:val="fr-FR"/>
        </w:rPr>
        <w:t>à :</w:t>
      </w:r>
    </w:p>
    <w:p w14:paraId="6C2FBADB" w14:textId="54B5A3B4" w:rsidR="005B49CE" w:rsidRDefault="005B49CE" w:rsidP="003F0A16">
      <w:pPr>
        <w:pStyle w:val="Titre2"/>
      </w:pPr>
      <w:bookmarkStart w:id="12" w:name="_Hlk533003084"/>
      <w:r w:rsidRPr="005B49CE">
        <w:t xml:space="preserve">Fournir à l’Entité Utilisatrice le support nécessaire pour la mise en œuvre de l’AMC Commune. Ce support sera fourni en répondant aux questions de l’Entité Utilisatrice dans les meilleurs délais pour des questions qui ne seraient pas traitées déjà dans la FAQ </w:t>
      </w:r>
      <w:r w:rsidRPr="005B49CE">
        <w:lastRenderedPageBreak/>
        <w:t>disponible sur le site de l’ADCET. Ce support sera fourni gratuitement pour les questions générales sur la mise en œuvre de la norme dans la limite de 7 heures. Au-delà l’ADCET s’engage à proposer directement ou indirectement des services de support, de formation et de certification, de conseil et le travail de personnalisation.</w:t>
      </w:r>
    </w:p>
    <w:bookmarkEnd w:id="12"/>
    <w:p w14:paraId="36F2A2A3" w14:textId="67C0D81D" w:rsidR="00BD62DF" w:rsidRPr="005508A7" w:rsidRDefault="00BD62DF" w:rsidP="003F0A16">
      <w:pPr>
        <w:pStyle w:val="Titre2"/>
      </w:pPr>
      <w:r w:rsidRPr="005508A7">
        <w:t>Attribuer à l'</w:t>
      </w:r>
      <w:r w:rsidR="009677F2">
        <w:t>Entité Utilisatrice</w:t>
      </w:r>
      <w:r w:rsidRPr="005508A7">
        <w:t xml:space="preserve"> un identifiant </w:t>
      </w:r>
      <w:r w:rsidR="007C50DC" w:rsidRPr="005508A7">
        <w:t xml:space="preserve">partenaire à savoir la référence </w:t>
      </w:r>
      <w:r w:rsidR="003F0A16" w:rsidRPr="005508A7">
        <w:t xml:space="preserve">émetteur </w:t>
      </w:r>
      <w:r w:rsidR="002A1226" w:rsidRPr="005508A7">
        <w:rPr>
          <w:smallCaps/>
        </w:rPr>
        <w:t xml:space="preserve">AMC </w:t>
      </w:r>
      <w:r w:rsidR="002A1226" w:rsidRPr="005508A7">
        <w:t>unique</w:t>
      </w:r>
      <w:r w:rsidR="004B5C6B" w:rsidRPr="005508A7">
        <w:t>, si elle n'en dispose pas déjà</w:t>
      </w:r>
      <w:r w:rsidR="002A1226">
        <w:t>.</w:t>
      </w:r>
      <w:r w:rsidR="007C50DC" w:rsidRPr="005508A7">
        <w:t xml:space="preserve"> </w:t>
      </w:r>
    </w:p>
    <w:p w14:paraId="155626D4" w14:textId="2EDA036C" w:rsidR="00343AD2" w:rsidRPr="005508A7" w:rsidRDefault="00BD62DF" w:rsidP="003F0A16">
      <w:pPr>
        <w:pStyle w:val="Titre2"/>
      </w:pPr>
      <w:r w:rsidRPr="005508A7">
        <w:t xml:space="preserve">Autoriser </w:t>
      </w:r>
      <w:r w:rsidR="004A3141" w:rsidRPr="005508A7">
        <w:t>l'</w:t>
      </w:r>
      <w:r w:rsidR="009677F2">
        <w:t>Entité Utilisatrice</w:t>
      </w:r>
      <w:r w:rsidRPr="005508A7">
        <w:t xml:space="preserve"> à approvisionner </w:t>
      </w:r>
      <w:r w:rsidR="00AF7638" w:rsidRPr="005508A7">
        <w:t xml:space="preserve">les </w:t>
      </w:r>
      <w:r w:rsidRPr="005508A7">
        <w:t xml:space="preserve">SAM </w:t>
      </w:r>
      <w:r w:rsidR="00343AD2" w:rsidRPr="005508A7">
        <w:t xml:space="preserve">contenant les Clés </w:t>
      </w:r>
      <w:r w:rsidR="00790E8B" w:rsidRPr="005508A7">
        <w:rPr>
          <w:smallCaps/>
        </w:rPr>
        <w:t>AMC Commune</w:t>
      </w:r>
      <w:r w:rsidRPr="005508A7">
        <w:t xml:space="preserve"> auprès des opérateurs techniques accrédités par </w:t>
      </w:r>
      <w:r w:rsidR="00790E8B" w:rsidRPr="005508A7">
        <w:t>ADCET</w:t>
      </w:r>
      <w:r w:rsidR="00343AD2" w:rsidRPr="005508A7">
        <w:t>.</w:t>
      </w:r>
    </w:p>
    <w:p w14:paraId="251C3DCD" w14:textId="3E720948" w:rsidR="00BD62DF" w:rsidRPr="005508A7" w:rsidRDefault="00343AD2" w:rsidP="003F0A16">
      <w:pPr>
        <w:pStyle w:val="Titre2"/>
      </w:pPr>
      <w:r w:rsidRPr="005508A7">
        <w:t>Autoriser l'</w:t>
      </w:r>
      <w:r w:rsidR="009677F2">
        <w:t>Entité Utilisatrice</w:t>
      </w:r>
      <w:r w:rsidRPr="005508A7">
        <w:t xml:space="preserve"> à fabriquer et émettre des Objets portables avec </w:t>
      </w:r>
      <w:r w:rsidR="001E104F" w:rsidRPr="005508A7">
        <w:t xml:space="preserve">l'Application </w:t>
      </w:r>
      <w:r w:rsidR="00790E8B" w:rsidRPr="005508A7">
        <w:rPr>
          <w:smallCaps/>
        </w:rPr>
        <w:t>AMC Commune</w:t>
      </w:r>
      <w:r w:rsidR="00AF7638" w:rsidRPr="005508A7">
        <w:t>.</w:t>
      </w:r>
    </w:p>
    <w:p w14:paraId="477BB072" w14:textId="63AAD5FF" w:rsidR="00AF7638" w:rsidRPr="005508A7" w:rsidRDefault="00AF7638" w:rsidP="003F0A16">
      <w:pPr>
        <w:pStyle w:val="Titre2"/>
      </w:pPr>
      <w:r w:rsidRPr="005508A7">
        <w:t>Permettre à l'</w:t>
      </w:r>
      <w:r w:rsidR="009677F2">
        <w:t>Entité Utilisatrice</w:t>
      </w:r>
      <w:r w:rsidRPr="005508A7">
        <w:t xml:space="preserve"> de charger des contrats dans l’application </w:t>
      </w:r>
      <w:r w:rsidR="00790E8B" w:rsidRPr="005508A7">
        <w:rPr>
          <w:smallCaps/>
        </w:rPr>
        <w:t>AMC Commune</w:t>
      </w:r>
      <w:r w:rsidRPr="005508A7">
        <w:t xml:space="preserve"> et d’accepter sur </w:t>
      </w:r>
      <w:r w:rsidR="006A2DA4" w:rsidRPr="005508A7">
        <w:t>ses équipements les</w:t>
      </w:r>
      <w:r w:rsidRPr="005508A7">
        <w:t xml:space="preserve"> contrats contenus dans l’application </w:t>
      </w:r>
      <w:r w:rsidR="00790E8B" w:rsidRPr="005508A7">
        <w:rPr>
          <w:smallCaps/>
        </w:rPr>
        <w:t>AMC Commune</w:t>
      </w:r>
      <w:r w:rsidRPr="005508A7">
        <w:t>.</w:t>
      </w:r>
    </w:p>
    <w:p w14:paraId="6F2CF07C" w14:textId="77777777" w:rsidR="003A48E4" w:rsidRPr="005508A7" w:rsidRDefault="003A48E4" w:rsidP="003F0A16">
      <w:pPr>
        <w:pStyle w:val="Titre2"/>
      </w:pPr>
      <w:r w:rsidRPr="005508A7">
        <w:t xml:space="preserve">Assurer la maintenance de l'Application </w:t>
      </w:r>
      <w:r w:rsidR="00790E8B" w:rsidRPr="005508A7">
        <w:rPr>
          <w:smallCaps/>
        </w:rPr>
        <w:t>AMC Commune</w:t>
      </w:r>
      <w:r w:rsidR="007C50DC" w:rsidRPr="005508A7">
        <w:t>, en accord avec l’ADCET</w:t>
      </w:r>
      <w:r w:rsidRPr="005508A7">
        <w:t>, avec toute la réactivité nécessaire en cas d'incident</w:t>
      </w:r>
      <w:r w:rsidR="00291629" w:rsidRPr="005508A7">
        <w:t>.</w:t>
      </w:r>
      <w:r w:rsidRPr="005508A7">
        <w:t xml:space="preserve"> </w:t>
      </w:r>
    </w:p>
    <w:p w14:paraId="2A12B48B" w14:textId="77777777" w:rsidR="00BD62DF" w:rsidRPr="005508A7" w:rsidRDefault="00BD62DF" w:rsidP="001C3A7E">
      <w:pPr>
        <w:jc w:val="both"/>
        <w:rPr>
          <w:szCs w:val="24"/>
          <w:lang w:val="fr-FR"/>
        </w:rPr>
      </w:pPr>
    </w:p>
    <w:p w14:paraId="2AA4F6C3" w14:textId="77777777" w:rsidR="00347671" w:rsidRPr="005508A7" w:rsidRDefault="00347671" w:rsidP="001C3A7E">
      <w:pPr>
        <w:jc w:val="both"/>
        <w:rPr>
          <w:szCs w:val="24"/>
          <w:lang w:val="fr-FR"/>
        </w:rPr>
      </w:pPr>
    </w:p>
    <w:p w14:paraId="06EB38A3" w14:textId="2EABDA3F" w:rsidR="001E104F" w:rsidRPr="005508A7" w:rsidRDefault="001E104F" w:rsidP="005024F5">
      <w:pPr>
        <w:keepNext/>
        <w:numPr>
          <w:ilvl w:val="0"/>
          <w:numId w:val="35"/>
        </w:numPr>
        <w:ind w:left="357" w:hanging="357"/>
        <w:jc w:val="both"/>
        <w:outlineLvl w:val="0"/>
        <w:rPr>
          <w:b/>
          <w:szCs w:val="24"/>
          <w:lang w:val="fr-FR"/>
        </w:rPr>
      </w:pPr>
      <w:bookmarkStart w:id="13" w:name="_Toc488074637"/>
      <w:r w:rsidRPr="005508A7">
        <w:rPr>
          <w:b/>
          <w:szCs w:val="24"/>
          <w:lang w:val="fr-FR"/>
        </w:rPr>
        <w:t>Responsabilités</w:t>
      </w:r>
      <w:bookmarkEnd w:id="13"/>
    </w:p>
    <w:p w14:paraId="08E87CAA" w14:textId="608A37A8" w:rsidR="001E104F" w:rsidRPr="005508A7" w:rsidRDefault="001E104F" w:rsidP="003F0A16">
      <w:pPr>
        <w:pStyle w:val="Titre2"/>
      </w:pPr>
      <w:r w:rsidRPr="005508A7">
        <w:t xml:space="preserve">La responsabilité </w:t>
      </w:r>
      <w:r w:rsidR="00521124" w:rsidRPr="005508A7">
        <w:t>du</w:t>
      </w:r>
      <w:r w:rsidRPr="005508A7">
        <w:t xml:space="preserve"> </w:t>
      </w:r>
      <w:r w:rsidR="00B142ED" w:rsidRPr="005508A7">
        <w:t>transfert des documents et</w:t>
      </w:r>
      <w:r w:rsidRPr="005508A7">
        <w:t xml:space="preserve"> des </w:t>
      </w:r>
      <w:r w:rsidR="00521124" w:rsidRPr="005508A7">
        <w:t xml:space="preserve">Clés </w:t>
      </w:r>
      <w:r w:rsidR="00790E8B" w:rsidRPr="005508A7">
        <w:rPr>
          <w:smallCaps/>
        </w:rPr>
        <w:t>AMC Commune</w:t>
      </w:r>
      <w:r w:rsidRPr="005508A7">
        <w:t xml:space="preserve"> aux industriels désignés par l'</w:t>
      </w:r>
      <w:r w:rsidR="009677F2">
        <w:t>Entité Utilisatrice</w:t>
      </w:r>
      <w:r w:rsidRPr="005508A7">
        <w:t xml:space="preserve"> pour la fabrication des éléments de sécurité et/ou des Objets portables, quel</w:t>
      </w:r>
      <w:r w:rsidR="00F06F7F" w:rsidRPr="005508A7">
        <w:t xml:space="preserve"> </w:t>
      </w:r>
      <w:r w:rsidRPr="005508A7">
        <w:t>que soit le type retenu</w:t>
      </w:r>
      <w:r w:rsidR="003C3579" w:rsidRPr="005508A7">
        <w:t>,</w:t>
      </w:r>
      <w:r w:rsidRPr="005508A7">
        <w:t xml:space="preserve"> est assuré</w:t>
      </w:r>
      <w:r w:rsidR="003C3579" w:rsidRPr="005508A7">
        <w:t>e</w:t>
      </w:r>
      <w:r w:rsidRPr="005508A7">
        <w:t xml:space="preserve"> par </w:t>
      </w:r>
      <w:r w:rsidR="00790E8B" w:rsidRPr="005508A7">
        <w:t>ADCET</w:t>
      </w:r>
      <w:r w:rsidRPr="005508A7">
        <w:t xml:space="preserve">, </w:t>
      </w:r>
      <w:r w:rsidR="003C3579" w:rsidRPr="005508A7">
        <w:t>qui peut</w:t>
      </w:r>
      <w:r w:rsidRPr="005508A7">
        <w:t xml:space="preserve"> désigner un sous-traitant pour l’exécution des tâches de transfert mais reste responsable vis-à-vis du destinataire.</w:t>
      </w:r>
    </w:p>
    <w:p w14:paraId="5A03491E" w14:textId="00DF6D33" w:rsidR="001E104F" w:rsidRPr="005508A7" w:rsidRDefault="003C3579" w:rsidP="003F0A16">
      <w:pPr>
        <w:pStyle w:val="Titre2"/>
      </w:pPr>
      <w:r w:rsidRPr="005508A7">
        <w:t>L</w:t>
      </w:r>
      <w:r w:rsidR="00521124" w:rsidRPr="005508A7">
        <w:t xml:space="preserve">a responsabilité de la mise en œuvre </w:t>
      </w:r>
      <w:r w:rsidRPr="005508A7">
        <w:t xml:space="preserve">de l'Application </w:t>
      </w:r>
      <w:r w:rsidR="00790E8B" w:rsidRPr="005508A7">
        <w:rPr>
          <w:smallCaps/>
        </w:rPr>
        <w:t>AMC Commune</w:t>
      </w:r>
      <w:r w:rsidR="00521124" w:rsidRPr="005508A7">
        <w:t xml:space="preserve"> relève de l’</w:t>
      </w:r>
      <w:r w:rsidR="009677F2">
        <w:t>Entité Utilisatrice</w:t>
      </w:r>
      <w:r w:rsidRPr="005508A7">
        <w:t xml:space="preserve">, celle-ci devant </w:t>
      </w:r>
      <w:r w:rsidR="00521124" w:rsidRPr="005508A7">
        <w:t xml:space="preserve">obtenir un agrément </w:t>
      </w:r>
      <w:r w:rsidR="00B82599" w:rsidRPr="005508A7">
        <w:t>délivré</w:t>
      </w:r>
      <w:r w:rsidR="00521124" w:rsidRPr="005508A7">
        <w:t xml:space="preserve"> par </w:t>
      </w:r>
      <w:r w:rsidR="00790E8B" w:rsidRPr="005508A7">
        <w:t>ADCET</w:t>
      </w:r>
      <w:r w:rsidR="00521124" w:rsidRPr="005508A7">
        <w:t xml:space="preserve"> </w:t>
      </w:r>
      <w:r w:rsidR="00B82599" w:rsidRPr="005508A7">
        <w:t xml:space="preserve">sur présentation d'un audit technique réalisé par un organisme qualifié par </w:t>
      </w:r>
      <w:r w:rsidR="00790E8B" w:rsidRPr="005508A7">
        <w:t>ADCET</w:t>
      </w:r>
      <w:r w:rsidR="00521124" w:rsidRPr="005508A7">
        <w:t xml:space="preserve">. </w:t>
      </w:r>
    </w:p>
    <w:p w14:paraId="4B18E90D" w14:textId="6C9A42B5" w:rsidR="003C3579" w:rsidRPr="005508A7" w:rsidRDefault="003C3579" w:rsidP="003F0A16">
      <w:pPr>
        <w:pStyle w:val="Titre2"/>
      </w:pPr>
      <w:r w:rsidRPr="005508A7">
        <w:t>La responsabilité de la qualité du chargement et de la suppression d'un contrat relève de l'</w:t>
      </w:r>
      <w:r w:rsidR="009677F2">
        <w:t>Entité Utilisatrice</w:t>
      </w:r>
      <w:r w:rsidRPr="005508A7">
        <w:t xml:space="preserve"> qui émet ce contrat chargé sous l’application d’interopérabilité </w:t>
      </w:r>
      <w:r w:rsidR="00790E8B" w:rsidRPr="005508A7">
        <w:rPr>
          <w:smallCaps/>
        </w:rPr>
        <w:t>AMC Commune</w:t>
      </w:r>
      <w:r w:rsidR="002014AF" w:rsidRPr="005508A7">
        <w:t>.</w:t>
      </w:r>
    </w:p>
    <w:p w14:paraId="15B179CF" w14:textId="4F809888" w:rsidR="008D3514" w:rsidRPr="005508A7" w:rsidRDefault="003C3579" w:rsidP="003F0A16">
      <w:pPr>
        <w:pStyle w:val="Titre2"/>
        <w:rPr>
          <w:szCs w:val="24"/>
        </w:rPr>
      </w:pPr>
      <w:r w:rsidRPr="005508A7">
        <w:t xml:space="preserve">La liste et la nature des contrats qu’une </w:t>
      </w:r>
      <w:r w:rsidR="009677F2">
        <w:t>Entité Utilisatrice</w:t>
      </w:r>
      <w:r w:rsidRPr="005508A7">
        <w:t xml:space="preserve"> souhaite émettre dans le cadre de l’application d’interopérabilité </w:t>
      </w:r>
      <w:r w:rsidR="00790E8B" w:rsidRPr="005508A7">
        <w:rPr>
          <w:smallCaps/>
        </w:rPr>
        <w:t>AMC Commune</w:t>
      </w:r>
      <w:r w:rsidRPr="005508A7">
        <w:t xml:space="preserve"> relève</w:t>
      </w:r>
      <w:r w:rsidR="000A7EA2" w:rsidRPr="005508A7">
        <w:t>nt</w:t>
      </w:r>
      <w:r w:rsidRPr="005508A7">
        <w:t xml:space="preserve"> de sa seule et unique compétence et sort</w:t>
      </w:r>
      <w:r w:rsidR="000A7EA2" w:rsidRPr="005508A7">
        <w:t>ent</w:t>
      </w:r>
      <w:r w:rsidRPr="005508A7">
        <w:t xml:space="preserve"> du cadre de la présente convention.</w:t>
      </w:r>
    </w:p>
    <w:p w14:paraId="56BA1B79" w14:textId="7900D342" w:rsidR="003F0A16" w:rsidRPr="005508A7" w:rsidRDefault="00790E8B" w:rsidP="003F0A16">
      <w:pPr>
        <w:pStyle w:val="Titre2"/>
      </w:pPr>
      <w:r w:rsidRPr="005508A7">
        <w:t>ADCET</w:t>
      </w:r>
      <w:r w:rsidR="00E04965" w:rsidRPr="005508A7">
        <w:t xml:space="preserve"> ne peut en aucun cas être tenue responsable de toutes conséquences, directes ou indirectes, </w:t>
      </w:r>
      <w:r w:rsidR="00016CFD" w:rsidRPr="005508A7">
        <w:t>ni</w:t>
      </w:r>
      <w:r w:rsidR="00E04965" w:rsidRPr="005508A7">
        <w:t xml:space="preserve"> de tous dommages qui pourraient résulter de </w:t>
      </w:r>
      <w:r w:rsidR="00016CFD" w:rsidRPr="005508A7">
        <w:t xml:space="preserve">la mise en œuvre ou de l'utilisation de l’Application d’interopérabilité </w:t>
      </w:r>
      <w:r w:rsidRPr="005508A7">
        <w:rPr>
          <w:smallCaps/>
        </w:rPr>
        <w:t>AMC Commune</w:t>
      </w:r>
      <w:r w:rsidR="00016CFD" w:rsidRPr="005508A7">
        <w:t xml:space="preserve">. </w:t>
      </w:r>
    </w:p>
    <w:p w14:paraId="345D72FC" w14:textId="27C11914" w:rsidR="003F0A16" w:rsidRPr="005508A7" w:rsidRDefault="003F0A16" w:rsidP="003F0A16">
      <w:pPr>
        <w:pStyle w:val="Titre2"/>
      </w:pPr>
      <w:r w:rsidRPr="005508A7">
        <w:t>L’</w:t>
      </w:r>
      <w:r w:rsidR="009677F2">
        <w:t>Entité Utilisatrice</w:t>
      </w:r>
      <w:r w:rsidRPr="005508A7">
        <w:t xml:space="preserve"> s’engage à contracter les assurances nécessaires à couvrir les risques (notamment vol, événements naturels ou tout acte de vandalisme) liés à l’utilisation du matériel.</w:t>
      </w:r>
    </w:p>
    <w:p w14:paraId="03537112" w14:textId="6D938D8E" w:rsidR="003F0A16" w:rsidRPr="005508A7" w:rsidRDefault="003F0A16" w:rsidP="003F0A16">
      <w:pPr>
        <w:pStyle w:val="Titre2"/>
        <w:rPr>
          <w:szCs w:val="24"/>
        </w:rPr>
      </w:pPr>
      <w:r w:rsidRPr="005508A7">
        <w:t>L’</w:t>
      </w:r>
      <w:r w:rsidR="009677F2">
        <w:t>Entité Utilisatrice</w:t>
      </w:r>
      <w:r w:rsidRPr="005508A7">
        <w:t xml:space="preserve"> assume l’entière responsabilité du matériel dès sa prise en charge et jusqu'à sa restitution. Elle est la seule responsable de tous dégâts causés au matériel ou du fait du matériel et ce quelle qu’en soit la cause ou la nature. </w:t>
      </w:r>
      <w:r w:rsidRPr="005508A7">
        <w:rPr>
          <w:szCs w:val="24"/>
        </w:rPr>
        <w:t>Tout matériel manquant ou dégradé sera remplacé ou réparé à la charge de l’</w:t>
      </w:r>
      <w:r w:rsidR="009677F2">
        <w:rPr>
          <w:szCs w:val="24"/>
        </w:rPr>
        <w:t>Entité Utilisatrice</w:t>
      </w:r>
      <w:r w:rsidRPr="005508A7">
        <w:rPr>
          <w:szCs w:val="24"/>
        </w:rPr>
        <w:t>. les démarches nécessaires à la prise en charge du dommage par sa compagnie d'assurance.</w:t>
      </w:r>
    </w:p>
    <w:p w14:paraId="4BAF86E9" w14:textId="5F8A0739" w:rsidR="003C3579" w:rsidRPr="0098273C" w:rsidRDefault="003F0A16" w:rsidP="00347671">
      <w:pPr>
        <w:pStyle w:val="Titre2"/>
      </w:pPr>
      <w:r w:rsidRPr="005508A7">
        <w:t>L’</w:t>
      </w:r>
      <w:r w:rsidR="009677F2">
        <w:t>Entité Utilisatrice</w:t>
      </w:r>
      <w:r w:rsidRPr="005508A7">
        <w:t xml:space="preserve"> s'engage à utiliser le matériel conformément à la notice d'utilisation et à en respecter les règles de sécurité.</w:t>
      </w:r>
    </w:p>
    <w:p w14:paraId="2EE5954A" w14:textId="77777777" w:rsidR="001E104F" w:rsidRPr="005508A7" w:rsidRDefault="001E104F" w:rsidP="002A6EBE">
      <w:pPr>
        <w:widowControl w:val="0"/>
        <w:jc w:val="both"/>
        <w:rPr>
          <w:szCs w:val="24"/>
          <w:lang w:val="fr-FR"/>
        </w:rPr>
      </w:pPr>
    </w:p>
    <w:p w14:paraId="7B8465F9" w14:textId="691F213C" w:rsidR="00794AB7" w:rsidRPr="005508A7" w:rsidRDefault="001C3A7E" w:rsidP="005024F5">
      <w:pPr>
        <w:keepNext/>
        <w:widowControl w:val="0"/>
        <w:numPr>
          <w:ilvl w:val="0"/>
          <w:numId w:val="35"/>
        </w:numPr>
        <w:ind w:left="357" w:hanging="357"/>
        <w:jc w:val="both"/>
        <w:outlineLvl w:val="0"/>
        <w:rPr>
          <w:b/>
          <w:szCs w:val="24"/>
          <w:lang w:val="fr-FR"/>
        </w:rPr>
      </w:pPr>
      <w:bookmarkStart w:id="14" w:name="_Toc488074638"/>
      <w:r w:rsidRPr="005508A7">
        <w:rPr>
          <w:b/>
          <w:szCs w:val="24"/>
          <w:lang w:val="fr-FR"/>
        </w:rPr>
        <w:lastRenderedPageBreak/>
        <w:t>Confidentialité</w:t>
      </w:r>
      <w:bookmarkEnd w:id="14"/>
    </w:p>
    <w:p w14:paraId="2148F60C" w14:textId="35BF9348" w:rsidR="00C209AA" w:rsidRPr="005508A7" w:rsidRDefault="008D0EF6" w:rsidP="003F0A16">
      <w:pPr>
        <w:pStyle w:val="Titre2"/>
      </w:pPr>
      <w:r w:rsidRPr="005508A7">
        <w:t>L’</w:t>
      </w:r>
      <w:r w:rsidR="009677F2">
        <w:t>Entité Utilisatrice</w:t>
      </w:r>
      <w:r w:rsidRPr="005508A7">
        <w:t xml:space="preserve"> s’engage à garder de façon strictement confidentielle toutes </w:t>
      </w:r>
      <w:r w:rsidR="003F0A16" w:rsidRPr="005508A7">
        <w:t>les Informations sensibles et/ou désignées comme confidentielles,</w:t>
      </w:r>
      <w:r w:rsidRPr="005508A7">
        <w:t xml:space="preserve"> transmises par </w:t>
      </w:r>
      <w:r w:rsidR="00790E8B" w:rsidRPr="005508A7">
        <w:t>ADCET</w:t>
      </w:r>
      <w:r w:rsidRPr="005508A7">
        <w:t xml:space="preserve"> en relation avec </w:t>
      </w:r>
      <w:r w:rsidR="00790E8B" w:rsidRPr="005508A7">
        <w:rPr>
          <w:smallCaps/>
        </w:rPr>
        <w:t>AMC Commune</w:t>
      </w:r>
      <w:r w:rsidRPr="005508A7">
        <w:t>, et en particulier les spécifications techniques ainsi que les éléments de sécurité</w:t>
      </w:r>
      <w:r w:rsidR="00C209AA" w:rsidRPr="005508A7">
        <w:t>.</w:t>
      </w:r>
    </w:p>
    <w:p w14:paraId="0713F61E" w14:textId="417FF1C1" w:rsidR="00295E55" w:rsidRPr="005508A7" w:rsidRDefault="008D0EF6" w:rsidP="003F0A16">
      <w:pPr>
        <w:pStyle w:val="Titre2"/>
      </w:pPr>
      <w:r w:rsidRPr="005508A7">
        <w:t>L’</w:t>
      </w:r>
      <w:r w:rsidR="009677F2">
        <w:t>Entité Utilisatrice</w:t>
      </w:r>
      <w:r w:rsidRPr="005508A7">
        <w:t xml:space="preserve"> s’engage à ne les publier en aucun cas et à ne les communiquer à aucun tiers sans l'accord écrit préalable de </w:t>
      </w:r>
      <w:r w:rsidR="00790E8B" w:rsidRPr="005508A7">
        <w:t>ADCET</w:t>
      </w:r>
      <w:r w:rsidR="00295E55" w:rsidRPr="005508A7">
        <w:t>.</w:t>
      </w:r>
    </w:p>
    <w:p w14:paraId="23D58284" w14:textId="5C901CBC" w:rsidR="00295E55" w:rsidRPr="005508A7" w:rsidRDefault="00295E55" w:rsidP="003F0A16">
      <w:pPr>
        <w:pStyle w:val="Titre2"/>
      </w:pPr>
      <w:r w:rsidRPr="005508A7">
        <w:t>Les obligations stipulées ci-dessus à la charge de l'</w:t>
      </w:r>
      <w:r w:rsidR="009677F2">
        <w:t>Entité Utilisatrice</w:t>
      </w:r>
      <w:r w:rsidRPr="005508A7">
        <w:t xml:space="preserve"> resteront en vigueur, même au</w:t>
      </w:r>
      <w:r w:rsidR="005C3EE2" w:rsidRPr="005508A7">
        <w:t>-</w:t>
      </w:r>
      <w:r w:rsidRPr="005508A7">
        <w:t>delà de la date de cessation du présent contrat, tant que les données ou informations concernées ne seront pas librement accessibles au public.</w:t>
      </w:r>
    </w:p>
    <w:p w14:paraId="50FCBC79" w14:textId="094FB09E" w:rsidR="00CC760B" w:rsidRPr="005508A7" w:rsidRDefault="00295E55" w:rsidP="003F0A16">
      <w:pPr>
        <w:pStyle w:val="Titre2"/>
      </w:pPr>
      <w:r w:rsidRPr="005508A7">
        <w:t>Il est entendu toutefois que ces obligations ne seront pas applicables aux données ou informations :</w:t>
      </w:r>
      <w:r w:rsidRPr="005508A7">
        <w:br/>
        <w:t>-</w:t>
      </w:r>
      <w:r w:rsidRPr="005508A7">
        <w:tab/>
        <w:t xml:space="preserve">faisant partie du domaine public au moment de leur communication par </w:t>
      </w:r>
      <w:r w:rsidR="00790E8B" w:rsidRPr="005508A7">
        <w:t>ADCET</w:t>
      </w:r>
      <w:r w:rsidRPr="005508A7">
        <w:t>;</w:t>
      </w:r>
      <w:r w:rsidRPr="005508A7">
        <w:br/>
        <w:t>-</w:t>
      </w:r>
      <w:r w:rsidRPr="005508A7">
        <w:tab/>
        <w:t xml:space="preserve">ou qui viendront ultérieurement à y tomber autrement que par le fait </w:t>
      </w:r>
      <w:r w:rsidR="00016CFD" w:rsidRPr="005508A7">
        <w:t xml:space="preserve">de l'Entité </w:t>
      </w:r>
      <w:r w:rsidR="00016CFD" w:rsidRPr="005508A7">
        <w:tab/>
      </w:r>
      <w:r w:rsidRPr="005508A7">
        <w:t>réceptrice ou des membres de son personnel qui auront reçu lesdits information;</w:t>
      </w:r>
      <w:r w:rsidRPr="005508A7">
        <w:br/>
        <w:t>-</w:t>
      </w:r>
      <w:r w:rsidRPr="005508A7">
        <w:tab/>
        <w:t>ou que l'</w:t>
      </w:r>
      <w:r w:rsidR="009677F2">
        <w:t>Entité Utilisatrice</w:t>
      </w:r>
      <w:r w:rsidRPr="005508A7">
        <w:t xml:space="preserve"> pourra prouver soit qu'il les possédait auparavant, soit qu'elles </w:t>
      </w:r>
      <w:r w:rsidR="00016CFD" w:rsidRPr="005508A7">
        <w:tab/>
      </w:r>
      <w:r w:rsidRPr="005508A7">
        <w:t xml:space="preserve">lui ont été communiquées licitement sans obligation de secret ni de limitation d’usage </w:t>
      </w:r>
      <w:r w:rsidR="00016CFD" w:rsidRPr="005508A7">
        <w:tab/>
      </w:r>
      <w:r w:rsidRPr="005508A7">
        <w:t>par un tiers les détenant licitement sans obligation de secret ni de limitation d’usage.</w:t>
      </w:r>
    </w:p>
    <w:p w14:paraId="0AD7427B" w14:textId="77777777" w:rsidR="00016CFD" w:rsidRPr="005508A7" w:rsidRDefault="00016CFD" w:rsidP="00016CFD">
      <w:pPr>
        <w:keepNext/>
        <w:spacing w:before="120"/>
        <w:rPr>
          <w:szCs w:val="24"/>
          <w:lang w:val="fr-FR"/>
        </w:rPr>
      </w:pPr>
    </w:p>
    <w:p w14:paraId="408A29CF" w14:textId="3348AA80" w:rsidR="002961F6" w:rsidRPr="005508A7" w:rsidRDefault="00CC760B" w:rsidP="005024F5">
      <w:pPr>
        <w:keepNext/>
        <w:numPr>
          <w:ilvl w:val="0"/>
          <w:numId w:val="35"/>
        </w:numPr>
        <w:jc w:val="both"/>
        <w:outlineLvl w:val="0"/>
        <w:rPr>
          <w:b/>
          <w:szCs w:val="24"/>
          <w:lang w:val="fr-FR"/>
        </w:rPr>
      </w:pPr>
      <w:bookmarkStart w:id="15" w:name="_Toc488074639"/>
      <w:r w:rsidRPr="005508A7">
        <w:rPr>
          <w:b/>
          <w:szCs w:val="24"/>
          <w:lang w:val="fr-FR"/>
        </w:rPr>
        <w:t>Propriété</w:t>
      </w:r>
      <w:bookmarkEnd w:id="15"/>
    </w:p>
    <w:p w14:paraId="0F72C457" w14:textId="35136650" w:rsidR="002961F6" w:rsidRPr="005508A7" w:rsidRDefault="00CC3B4F" w:rsidP="003F0A16">
      <w:pPr>
        <w:pStyle w:val="Titre2"/>
      </w:pPr>
      <w:r w:rsidRPr="005508A7">
        <w:rPr>
          <w:iCs/>
        </w:rPr>
        <w:t>ADCET</w:t>
      </w:r>
      <w:r w:rsidRPr="005508A7">
        <w:t xml:space="preserve"> </w:t>
      </w:r>
      <w:r>
        <w:t>détient</w:t>
      </w:r>
      <w:r w:rsidR="002961F6" w:rsidRPr="005508A7">
        <w:t xml:space="preserve"> la propriété des clés cryptographiques </w:t>
      </w:r>
      <w:r w:rsidR="00790E8B" w:rsidRPr="005508A7">
        <w:rPr>
          <w:smallCaps/>
        </w:rPr>
        <w:t>AMC Commune</w:t>
      </w:r>
      <w:r w:rsidR="002961F6" w:rsidRPr="005508A7">
        <w:t xml:space="preserve">, qu’elle a fait spécifier, créer et </w:t>
      </w:r>
      <w:r w:rsidR="001521A9">
        <w:t>gérer par le sous-traitant de son choix</w:t>
      </w:r>
      <w:r w:rsidR="002961F6" w:rsidRPr="005508A7">
        <w:t>.</w:t>
      </w:r>
    </w:p>
    <w:p w14:paraId="40E304CA" w14:textId="53D2BFC7" w:rsidR="002961F6" w:rsidRPr="005508A7" w:rsidRDefault="002961F6" w:rsidP="003F0A16">
      <w:pPr>
        <w:pStyle w:val="Titre2"/>
      </w:pPr>
      <w:r w:rsidRPr="005508A7">
        <w:t>La présente convention ne donne aucun droit de propriété quel qu’il soit à l’</w:t>
      </w:r>
      <w:r w:rsidR="009677F2">
        <w:t>Entité Utilisatrice</w:t>
      </w:r>
      <w:r w:rsidR="006A2DA4" w:rsidRPr="005508A7">
        <w:t xml:space="preserve"> sur l’A</w:t>
      </w:r>
      <w:r w:rsidRPr="005508A7">
        <w:t xml:space="preserve">pplication </w:t>
      </w:r>
      <w:r w:rsidR="00790E8B" w:rsidRPr="005508A7">
        <w:rPr>
          <w:smallCaps/>
        </w:rPr>
        <w:t>AMC Commune</w:t>
      </w:r>
      <w:r w:rsidRPr="005508A7">
        <w:t xml:space="preserve"> </w:t>
      </w:r>
      <w:r w:rsidR="00384458" w:rsidRPr="005508A7">
        <w:t>ni</w:t>
      </w:r>
      <w:r w:rsidRPr="005508A7">
        <w:t xml:space="preserve"> sur ses clés cryptographiques</w:t>
      </w:r>
      <w:r w:rsidR="00360276" w:rsidRPr="005508A7">
        <w:t>.</w:t>
      </w:r>
    </w:p>
    <w:p w14:paraId="603B8249" w14:textId="77777777" w:rsidR="00ED6AB4" w:rsidRPr="005508A7" w:rsidRDefault="002961F6" w:rsidP="003F0A16">
      <w:pPr>
        <w:pStyle w:val="Titre2"/>
      </w:pPr>
      <w:r w:rsidRPr="005508A7">
        <w:t>La présente convention n’emporte au profit d’une quelconque des Parties la cession ni la licence d’aucun brevet, marque, logo, design ou autres droits de propriété industrielle appartenant à l’une de</w:t>
      </w:r>
      <w:r w:rsidR="005C3EE2" w:rsidRPr="005508A7">
        <w:t>s</w:t>
      </w:r>
      <w:r w:rsidRPr="005508A7">
        <w:t xml:space="preserve"> Parties.</w:t>
      </w:r>
      <w:r w:rsidRPr="005508A7">
        <w:rPr>
          <w:b/>
        </w:rPr>
        <w:t xml:space="preserve"> </w:t>
      </w:r>
    </w:p>
    <w:p w14:paraId="6602209B" w14:textId="77777777" w:rsidR="00D60BDA" w:rsidRPr="005508A7" w:rsidRDefault="00D60BDA" w:rsidP="00C437D3">
      <w:pPr>
        <w:jc w:val="both"/>
        <w:rPr>
          <w:szCs w:val="24"/>
          <w:lang w:val="fr-FR"/>
        </w:rPr>
      </w:pPr>
    </w:p>
    <w:p w14:paraId="7AA9BE56" w14:textId="77777777" w:rsidR="000A7EA2" w:rsidRPr="005508A7" w:rsidRDefault="000A7EA2" w:rsidP="00C437D3">
      <w:pPr>
        <w:jc w:val="both"/>
        <w:rPr>
          <w:szCs w:val="24"/>
          <w:lang w:val="fr-FR"/>
        </w:rPr>
      </w:pPr>
    </w:p>
    <w:p w14:paraId="2AD54DFE" w14:textId="513417A1" w:rsidR="00160A3D" w:rsidRPr="005508A7" w:rsidRDefault="000D5FEE" w:rsidP="00160A3D">
      <w:pPr>
        <w:keepNext/>
        <w:numPr>
          <w:ilvl w:val="0"/>
          <w:numId w:val="35"/>
        </w:numPr>
        <w:jc w:val="both"/>
        <w:outlineLvl w:val="0"/>
        <w:rPr>
          <w:b/>
          <w:szCs w:val="24"/>
          <w:lang w:val="fr-FR"/>
        </w:rPr>
      </w:pPr>
      <w:bookmarkStart w:id="16" w:name="_Toc473952119"/>
      <w:bookmarkStart w:id="17" w:name="_Toc488074640"/>
      <w:r w:rsidRPr="005508A7">
        <w:rPr>
          <w:b/>
          <w:szCs w:val="24"/>
          <w:lang w:val="fr-FR"/>
        </w:rPr>
        <w:t>Entrée en vigueur, durée, résiliation</w:t>
      </w:r>
      <w:bookmarkEnd w:id="16"/>
      <w:bookmarkEnd w:id="17"/>
      <w:r w:rsidR="00574656" w:rsidRPr="005508A7">
        <w:rPr>
          <w:b/>
          <w:szCs w:val="24"/>
          <w:lang w:val="fr-FR"/>
        </w:rPr>
        <w:t xml:space="preserve"> </w:t>
      </w:r>
    </w:p>
    <w:p w14:paraId="541DCBA9" w14:textId="77777777" w:rsidR="000D5FEE" w:rsidRPr="005508A7" w:rsidRDefault="000D5FEE" w:rsidP="003F0A16">
      <w:pPr>
        <w:pStyle w:val="Titre2"/>
      </w:pPr>
      <w:r w:rsidRPr="005508A7">
        <w:t>La date d’effet du présent contrat est la date indiquée plus bas.</w:t>
      </w:r>
    </w:p>
    <w:p w14:paraId="161AE9B0" w14:textId="77777777" w:rsidR="000D5FEE" w:rsidRPr="005508A7" w:rsidRDefault="000D5FEE" w:rsidP="003F0A16">
      <w:pPr>
        <w:pStyle w:val="Titre2"/>
      </w:pPr>
      <w:r w:rsidRPr="005508A7">
        <w:t xml:space="preserve">Sauf résiliation anticipée, </w:t>
      </w:r>
      <w:r w:rsidR="008D52F7" w:rsidRPr="005508A7">
        <w:t>la présente convention</w:t>
      </w:r>
      <w:r w:rsidRPr="005508A7">
        <w:t xml:space="preserve"> </w:t>
      </w:r>
      <w:r w:rsidR="00360276" w:rsidRPr="005508A7">
        <w:t xml:space="preserve">sera valide pour </w:t>
      </w:r>
      <w:r w:rsidR="001E138B" w:rsidRPr="005508A7">
        <w:t xml:space="preserve">une </w:t>
      </w:r>
      <w:r w:rsidR="00360276" w:rsidRPr="005508A7">
        <w:t xml:space="preserve">durée </w:t>
      </w:r>
      <w:r w:rsidR="001E138B" w:rsidRPr="005508A7">
        <w:t>de cinq ans</w:t>
      </w:r>
      <w:r w:rsidR="000A7EA2" w:rsidRPr="005508A7">
        <w:t>,</w:t>
      </w:r>
      <w:r w:rsidR="001E138B" w:rsidRPr="005508A7">
        <w:t xml:space="preserve"> </w:t>
      </w:r>
      <w:r w:rsidR="00574656" w:rsidRPr="005508A7">
        <w:t xml:space="preserve">renouvelable par </w:t>
      </w:r>
      <w:r w:rsidR="001E138B" w:rsidRPr="005508A7">
        <w:t>tacite reconduction.</w:t>
      </w:r>
    </w:p>
    <w:p w14:paraId="2183CFDE" w14:textId="377B7E30" w:rsidR="000D5FEE" w:rsidRPr="005508A7" w:rsidRDefault="008D0EF6" w:rsidP="003F0A16">
      <w:pPr>
        <w:pStyle w:val="Titre2"/>
      </w:pPr>
      <w:r w:rsidRPr="005508A7">
        <w:t>L'</w:t>
      </w:r>
      <w:r w:rsidR="009677F2">
        <w:t>Entité Utilisatrice</w:t>
      </w:r>
      <w:r w:rsidRPr="005508A7">
        <w:t xml:space="preserve"> désirant renoncer à l’usage de </w:t>
      </w:r>
      <w:r w:rsidR="00102031" w:rsidRPr="005508A7">
        <w:t>l’</w:t>
      </w:r>
      <w:r w:rsidRPr="005508A7">
        <w:t xml:space="preserve"> </w:t>
      </w:r>
      <w:r w:rsidR="00790E8B" w:rsidRPr="005508A7">
        <w:rPr>
          <w:smallCaps/>
        </w:rPr>
        <w:t>AMC Commune</w:t>
      </w:r>
      <w:r w:rsidRPr="005508A7">
        <w:t xml:space="preserve"> doit en avertir </w:t>
      </w:r>
      <w:r w:rsidR="00790E8B" w:rsidRPr="005508A7">
        <w:t>ADCET</w:t>
      </w:r>
      <w:r w:rsidRPr="005508A7">
        <w:t xml:space="preserve"> par lettre recommandée avec un préavis d’un an</w:t>
      </w:r>
      <w:r w:rsidR="000D61D8" w:rsidRPr="005508A7">
        <w:t xml:space="preserve">. </w:t>
      </w:r>
    </w:p>
    <w:p w14:paraId="58CA43B3" w14:textId="28BB4571" w:rsidR="000D5FEE" w:rsidRPr="005508A7" w:rsidRDefault="008D52F7" w:rsidP="003F0A16">
      <w:pPr>
        <w:pStyle w:val="Titre2"/>
      </w:pPr>
      <w:bookmarkStart w:id="18" w:name="_Toc473952120"/>
      <w:r w:rsidRPr="005508A7">
        <w:t>La présente convention</w:t>
      </w:r>
      <w:r w:rsidR="000D5FEE" w:rsidRPr="005508A7">
        <w:t xml:space="preserve"> pourra à tout moment être résilié</w:t>
      </w:r>
      <w:r w:rsidRPr="005508A7">
        <w:t>e</w:t>
      </w:r>
      <w:r w:rsidR="000D5FEE" w:rsidRPr="005508A7">
        <w:t xml:space="preserve"> par </w:t>
      </w:r>
      <w:r w:rsidR="00790E8B" w:rsidRPr="005508A7">
        <w:t>ADCET</w:t>
      </w:r>
      <w:r w:rsidRPr="005508A7">
        <w:t xml:space="preserve"> par lettre recommandée si</w:t>
      </w:r>
      <w:r w:rsidR="000D5FEE" w:rsidRPr="005508A7">
        <w:t xml:space="preserve"> </w:t>
      </w:r>
      <w:r w:rsidRPr="005508A7">
        <w:t>l</w:t>
      </w:r>
      <w:r w:rsidR="000D5FEE" w:rsidRPr="005508A7">
        <w:t>'</w:t>
      </w:r>
      <w:r w:rsidR="009677F2">
        <w:t>Entité Utilisatrice</w:t>
      </w:r>
      <w:r w:rsidR="000D5FEE" w:rsidRPr="005508A7">
        <w:t xml:space="preserve"> vient à manquer à l'une de ses obligations contractuelles et ne remédie pas à ce manquement dans les </w:t>
      </w:r>
      <w:r w:rsidR="00C209AA" w:rsidRPr="005508A7">
        <w:t>trois</w:t>
      </w:r>
      <w:r w:rsidR="000D5FEE" w:rsidRPr="005508A7">
        <w:t xml:space="preserve"> mois de la mise en demeure que lui notifiera </w:t>
      </w:r>
      <w:r w:rsidR="00790E8B" w:rsidRPr="005508A7">
        <w:t>ADCET</w:t>
      </w:r>
      <w:r w:rsidR="000D5FEE" w:rsidRPr="005508A7">
        <w:t xml:space="preserve"> à ce sujet.</w:t>
      </w:r>
    </w:p>
    <w:p w14:paraId="629411E0" w14:textId="0EB3D4E4" w:rsidR="000A7EA2" w:rsidRPr="005508A7" w:rsidRDefault="000A7EA2" w:rsidP="003F0A16">
      <w:pPr>
        <w:pStyle w:val="Titre2"/>
      </w:pPr>
      <w:r w:rsidRPr="005508A7">
        <w:t>La présente convention pourra à tout moment être résiliée par l'</w:t>
      </w:r>
      <w:r w:rsidR="009677F2">
        <w:t>Entité Utilisatrice</w:t>
      </w:r>
      <w:r w:rsidRPr="005508A7">
        <w:t xml:space="preserve"> par lettre recommandée si </w:t>
      </w:r>
      <w:r w:rsidR="00790E8B" w:rsidRPr="005508A7">
        <w:t>ADCET</w:t>
      </w:r>
      <w:r w:rsidRPr="005508A7">
        <w:t xml:space="preserve"> vient à manquer à l'une de ses obligations contractuelles et ne remédie pas à ce manquement dans les trois mois de la mise en demeure que lui notifiera l'</w:t>
      </w:r>
      <w:r w:rsidR="009677F2">
        <w:t>Entité Utilisatrice</w:t>
      </w:r>
      <w:r w:rsidRPr="005508A7">
        <w:t xml:space="preserve"> à ce sujet.</w:t>
      </w:r>
    </w:p>
    <w:p w14:paraId="657EB522" w14:textId="6B21B7FF" w:rsidR="005B1D07" w:rsidRPr="005508A7" w:rsidRDefault="004270F7" w:rsidP="003F0A16">
      <w:pPr>
        <w:pStyle w:val="Titre2"/>
      </w:pPr>
      <w:r w:rsidRPr="005508A7">
        <w:t xml:space="preserve">En cas de résiliation du présent contrat, </w:t>
      </w:r>
      <w:r w:rsidR="005B1D07" w:rsidRPr="005508A7">
        <w:t xml:space="preserve">à l'issue des préavis mentionnés ci-dessus, </w:t>
      </w:r>
      <w:r w:rsidRPr="005508A7">
        <w:t>l'</w:t>
      </w:r>
      <w:r w:rsidR="009677F2">
        <w:t>Entité Utilisatrice</w:t>
      </w:r>
      <w:r w:rsidRPr="005508A7">
        <w:t xml:space="preserve"> disposera d'un délai de trois mois</w:t>
      </w:r>
      <w:r w:rsidR="00C209AA" w:rsidRPr="005508A7">
        <w:t xml:space="preserve"> pour : </w:t>
      </w:r>
      <w:r w:rsidR="00C209AA" w:rsidRPr="005508A7">
        <w:br/>
      </w:r>
      <w:r w:rsidRPr="005508A7">
        <w:lastRenderedPageBreak/>
        <w:t>-</w:t>
      </w:r>
      <w:r w:rsidRPr="005508A7">
        <w:tab/>
      </w:r>
      <w:r w:rsidR="003F0A16" w:rsidRPr="005508A7">
        <w:t>cesser le</w:t>
      </w:r>
      <w:r w:rsidR="005B1D07" w:rsidRPr="005508A7">
        <w:t xml:space="preserve"> traitement de </w:t>
      </w:r>
      <w:r w:rsidR="00790E8B" w:rsidRPr="005508A7">
        <w:rPr>
          <w:smallCaps/>
          <w:szCs w:val="24"/>
        </w:rPr>
        <w:t>AMC Commune</w:t>
      </w:r>
      <w:r w:rsidR="005B1D07" w:rsidRPr="005508A7">
        <w:t xml:space="preserve"> dans ses équipements</w:t>
      </w:r>
      <w:r w:rsidR="003E5B9B" w:rsidRPr="005508A7">
        <w:t>,</w:t>
      </w:r>
      <w:r w:rsidR="003E5B9B" w:rsidRPr="005508A7">
        <w:br/>
      </w:r>
      <w:r w:rsidRPr="005508A7">
        <w:t>-</w:t>
      </w:r>
      <w:r w:rsidRPr="005508A7">
        <w:tab/>
        <w:t xml:space="preserve">cesser l'émission d'Objets portables incluant l'Application </w:t>
      </w:r>
      <w:r w:rsidR="00790E8B" w:rsidRPr="005508A7">
        <w:rPr>
          <w:smallCaps/>
        </w:rPr>
        <w:t>AMC Commune</w:t>
      </w:r>
      <w:r w:rsidR="000A7EA2" w:rsidRPr="005508A7">
        <w:rPr>
          <w:smallCaps/>
        </w:rPr>
        <w:t>,</w:t>
      </w:r>
      <w:r w:rsidR="005B1D07" w:rsidRPr="005508A7">
        <w:rPr>
          <w:smallCaps/>
        </w:rPr>
        <w:br/>
        <w:t>-</w:t>
      </w:r>
      <w:r w:rsidR="005B1D07" w:rsidRPr="005508A7">
        <w:rPr>
          <w:smallCaps/>
        </w:rPr>
        <w:tab/>
      </w:r>
      <w:r w:rsidR="005B1D07" w:rsidRPr="005508A7">
        <w:t xml:space="preserve">restituer à </w:t>
      </w:r>
      <w:r w:rsidR="00790E8B" w:rsidRPr="005508A7">
        <w:t>ADCET</w:t>
      </w:r>
      <w:r w:rsidR="003E5B9B" w:rsidRPr="005508A7">
        <w:t xml:space="preserve"> les SAM  contenant les clés </w:t>
      </w:r>
      <w:r w:rsidR="00790E8B" w:rsidRPr="005508A7">
        <w:rPr>
          <w:smallCaps/>
        </w:rPr>
        <w:t>AMC Commune</w:t>
      </w:r>
      <w:r w:rsidR="005B1D07" w:rsidRPr="005508A7">
        <w:rPr>
          <w:smallCaps/>
        </w:rPr>
        <w:t xml:space="preserve">, </w:t>
      </w:r>
      <w:r w:rsidR="005B1D07" w:rsidRPr="005508A7">
        <w:t xml:space="preserve">ou prouver qu'elles les a détruits, </w:t>
      </w:r>
      <w:r w:rsidR="00790E8B" w:rsidRPr="005508A7">
        <w:t>ADCET</w:t>
      </w:r>
      <w:r w:rsidR="005B1D07" w:rsidRPr="005508A7">
        <w:t xml:space="preserve"> se rése</w:t>
      </w:r>
      <w:r w:rsidR="003E5B9B" w:rsidRPr="005508A7">
        <w:t xml:space="preserve">rvant le droit d'auditer cette </w:t>
      </w:r>
      <w:r w:rsidR="005B1D07" w:rsidRPr="005508A7">
        <w:t>destruction.</w:t>
      </w:r>
      <w:r w:rsidR="005B1D07" w:rsidRPr="005508A7">
        <w:tab/>
      </w:r>
    </w:p>
    <w:p w14:paraId="48F7D5BB" w14:textId="77777777" w:rsidR="00F00C82" w:rsidRPr="005508A7" w:rsidRDefault="00F00C82" w:rsidP="00F00C82">
      <w:pPr>
        <w:rPr>
          <w:lang w:val="fr-FR"/>
        </w:rPr>
      </w:pPr>
    </w:p>
    <w:p w14:paraId="66CF54DA" w14:textId="77777777" w:rsidR="00F00C82" w:rsidRPr="005508A7" w:rsidRDefault="00F00C82" w:rsidP="00F00C82">
      <w:pPr>
        <w:rPr>
          <w:lang w:val="fr-FR"/>
        </w:rPr>
      </w:pPr>
    </w:p>
    <w:p w14:paraId="3AF71AF1" w14:textId="77777777" w:rsidR="000D5FEE" w:rsidRPr="005508A7" w:rsidRDefault="000D5FEE" w:rsidP="00F30E0D">
      <w:pPr>
        <w:pStyle w:val="Titre1"/>
      </w:pPr>
      <w:bookmarkStart w:id="19" w:name="_Toc488074641"/>
      <w:r w:rsidRPr="005508A7">
        <w:t xml:space="preserve">Intégralité </w:t>
      </w:r>
      <w:bookmarkEnd w:id="18"/>
      <w:r w:rsidR="008D338D" w:rsidRPr="005508A7">
        <w:t>de la convention</w:t>
      </w:r>
      <w:bookmarkEnd w:id="19"/>
    </w:p>
    <w:p w14:paraId="34D17109" w14:textId="77777777" w:rsidR="00F00C82" w:rsidRPr="005508A7" w:rsidRDefault="00F00C82" w:rsidP="00424CD7">
      <w:pPr>
        <w:keepNext/>
        <w:jc w:val="both"/>
        <w:outlineLvl w:val="0"/>
        <w:rPr>
          <w:b/>
          <w:szCs w:val="24"/>
          <w:lang w:val="fr-FR"/>
        </w:rPr>
      </w:pPr>
    </w:p>
    <w:p w14:paraId="61EA25CF" w14:textId="77777777" w:rsidR="000D5FEE" w:rsidRPr="005508A7" w:rsidRDefault="00F00C82" w:rsidP="003F0A16">
      <w:pPr>
        <w:pStyle w:val="Titre2"/>
      </w:pPr>
      <w:r w:rsidRPr="005508A7">
        <w:t xml:space="preserve">La présente convention </w:t>
      </w:r>
      <w:r w:rsidR="000D5FEE" w:rsidRPr="005508A7">
        <w:t xml:space="preserve">constitue l’intégralité des </w:t>
      </w:r>
      <w:r w:rsidRPr="005508A7">
        <w:t>dispositions</w:t>
      </w:r>
      <w:r w:rsidR="000D5FEE" w:rsidRPr="005508A7">
        <w:t xml:space="preserve"> liant les Parties relativement à son objet. Dès sa date d’effet indiquée plus bas, </w:t>
      </w:r>
      <w:r w:rsidRPr="005508A7">
        <w:t xml:space="preserve">elle </w:t>
      </w:r>
      <w:r w:rsidR="000D5FEE" w:rsidRPr="005508A7">
        <w:t>annule et remplace toutes précédentes dispositions envisagées ou décidées entre les Parties relativement à cet objet ainsi que tous échanges de courriers ou déclarations auxquels leur négociation aura pu antérieurement donner lieu.</w:t>
      </w:r>
    </w:p>
    <w:p w14:paraId="6EB9513C" w14:textId="6D669D7E" w:rsidR="000D5FEE" w:rsidRPr="005508A7" w:rsidRDefault="000D5FEE" w:rsidP="003F0A16">
      <w:pPr>
        <w:pStyle w:val="Titre2"/>
      </w:pPr>
      <w:r w:rsidRPr="005508A7">
        <w:t xml:space="preserve">Toutes modifications et/ou additions que les Parties conviendront d’apporter </w:t>
      </w:r>
      <w:r w:rsidR="00F00C82" w:rsidRPr="005508A7">
        <w:t xml:space="preserve">à la présente convention </w:t>
      </w:r>
      <w:r w:rsidRPr="005508A7">
        <w:t>devront l’être par écrit, par voie d’avenants dûment signés par des représentants dûment accrédités de l’une et l’autre des Parties.</w:t>
      </w:r>
    </w:p>
    <w:p w14:paraId="14B4E2E3" w14:textId="3B109B84" w:rsidR="00F30E0D" w:rsidRPr="005508A7" w:rsidRDefault="00F30E0D" w:rsidP="00F30E0D">
      <w:pPr>
        <w:rPr>
          <w:lang w:val="fr-FR"/>
        </w:rPr>
      </w:pPr>
    </w:p>
    <w:p w14:paraId="7F803CC3" w14:textId="5EC2CED3" w:rsidR="00F30E0D" w:rsidRPr="005508A7" w:rsidRDefault="00F30E0D" w:rsidP="00F30E0D">
      <w:pPr>
        <w:pStyle w:val="Titre1"/>
      </w:pPr>
      <w:bookmarkStart w:id="20" w:name="_Toc488074642"/>
      <w:r w:rsidRPr="005508A7">
        <w:t>Intuitu Personae</w:t>
      </w:r>
      <w:bookmarkEnd w:id="20"/>
    </w:p>
    <w:p w14:paraId="75A7F202" w14:textId="77777777" w:rsidR="00F30E0D" w:rsidRPr="005508A7" w:rsidRDefault="00F30E0D" w:rsidP="00F30E0D">
      <w:pPr>
        <w:rPr>
          <w:b/>
          <w:lang w:val="fr-FR"/>
        </w:rPr>
      </w:pPr>
    </w:p>
    <w:p w14:paraId="46FC2997" w14:textId="7543A04A" w:rsidR="00F30E0D" w:rsidRPr="005508A7" w:rsidRDefault="00F30E0D" w:rsidP="00F30E0D">
      <w:pPr>
        <w:rPr>
          <w:lang w:val="fr-FR"/>
        </w:rPr>
      </w:pPr>
      <w:r w:rsidRPr="005508A7">
        <w:rPr>
          <w:lang w:val="fr-FR"/>
        </w:rPr>
        <w:t xml:space="preserve">Il est expressément rappelé que la présente convention est strictement réservée à servir l'objet de la seule </w:t>
      </w:r>
      <w:r w:rsidR="009677F2">
        <w:rPr>
          <w:lang w:val="fr-FR"/>
        </w:rPr>
        <w:t>Entité Utilisatrice</w:t>
      </w:r>
      <w:r w:rsidR="005508A7" w:rsidRPr="005508A7">
        <w:rPr>
          <w:lang w:val="fr-FR"/>
        </w:rPr>
        <w:t xml:space="preserve"> ;</w:t>
      </w:r>
      <w:r w:rsidRPr="005508A7">
        <w:rPr>
          <w:lang w:val="fr-FR"/>
        </w:rPr>
        <w:t xml:space="preserve"> que les droits et avantages ne pourront en aucun cas être concédés à un quelconque tiers, sauf accord préalable et écrit de ADCET.</w:t>
      </w:r>
    </w:p>
    <w:p w14:paraId="52D4713A" w14:textId="77777777" w:rsidR="00F30E0D" w:rsidRPr="005508A7" w:rsidRDefault="00F30E0D" w:rsidP="00F30E0D">
      <w:pPr>
        <w:rPr>
          <w:lang w:val="fr-FR"/>
        </w:rPr>
      </w:pPr>
    </w:p>
    <w:p w14:paraId="3B08A313" w14:textId="2DCF29A3" w:rsidR="00F30E0D" w:rsidRPr="005508A7" w:rsidRDefault="00F30E0D" w:rsidP="00F30E0D">
      <w:pPr>
        <w:pStyle w:val="Titre1"/>
      </w:pPr>
      <w:bookmarkStart w:id="21" w:name="_Toc488074643"/>
      <w:r w:rsidRPr="005508A7">
        <w:t>Divisibilité des clauses</w:t>
      </w:r>
      <w:bookmarkEnd w:id="21"/>
    </w:p>
    <w:p w14:paraId="5564E40C" w14:textId="77777777" w:rsidR="00F30E0D" w:rsidRPr="005508A7" w:rsidRDefault="00F30E0D" w:rsidP="00F30E0D">
      <w:pPr>
        <w:rPr>
          <w:b/>
          <w:lang w:val="fr-FR"/>
        </w:rPr>
      </w:pPr>
    </w:p>
    <w:p w14:paraId="1A8D7987" w14:textId="77777777" w:rsidR="00F30E0D" w:rsidRPr="005508A7" w:rsidRDefault="00F30E0D" w:rsidP="00F30E0D">
      <w:pPr>
        <w:rPr>
          <w:lang w:val="fr-FR"/>
        </w:rPr>
      </w:pPr>
      <w:r w:rsidRPr="005508A7">
        <w:rPr>
          <w:lang w:val="fr-FR"/>
        </w:rPr>
        <w:t>La nullité, la caducité, l'absence de force obligatoire ou l’inopposabilité de l'une quelconque des stipulations du présent contrat n'emporte pas nullité, la caducité, l'absence de force obligatoire ou l’inopposabilité des autres stipulations qui conserveront tous leurs effets.</w:t>
      </w:r>
    </w:p>
    <w:p w14:paraId="407BE95D" w14:textId="77777777" w:rsidR="00F30E0D" w:rsidRPr="005508A7" w:rsidRDefault="00F30E0D" w:rsidP="00F30E0D">
      <w:pPr>
        <w:rPr>
          <w:lang w:val="fr-FR"/>
        </w:rPr>
      </w:pPr>
    </w:p>
    <w:p w14:paraId="6CB46CE6" w14:textId="77777777" w:rsidR="00F30E0D" w:rsidRPr="005508A7" w:rsidRDefault="00F30E0D" w:rsidP="00F30E0D">
      <w:pPr>
        <w:rPr>
          <w:lang w:val="fr-FR"/>
        </w:rPr>
      </w:pPr>
      <w:r w:rsidRPr="005508A7">
        <w:rPr>
          <w:lang w:val="fr-FR"/>
        </w:rPr>
        <w:t>Cependant, les parties pourront d'un commun accord, convenir de remplacer la ou les stipulations invalidées.</w:t>
      </w:r>
    </w:p>
    <w:p w14:paraId="60C2A4C5" w14:textId="77777777" w:rsidR="00F30E0D" w:rsidRPr="005508A7" w:rsidRDefault="00F30E0D" w:rsidP="00F30E0D">
      <w:pPr>
        <w:rPr>
          <w:b/>
          <w:lang w:val="fr-FR"/>
        </w:rPr>
      </w:pPr>
    </w:p>
    <w:p w14:paraId="26380517" w14:textId="7B79DC14" w:rsidR="00F30E0D" w:rsidRPr="005508A7" w:rsidRDefault="00F30E0D" w:rsidP="00F30E0D">
      <w:pPr>
        <w:pStyle w:val="Titre1"/>
      </w:pPr>
      <w:bookmarkStart w:id="22" w:name="_Toc488074644"/>
      <w:r w:rsidRPr="005508A7">
        <w:t>Différends</w:t>
      </w:r>
      <w:bookmarkEnd w:id="22"/>
    </w:p>
    <w:p w14:paraId="4E280FEF" w14:textId="77777777" w:rsidR="00F30E0D" w:rsidRPr="005508A7" w:rsidRDefault="00F30E0D" w:rsidP="00F30E0D">
      <w:pPr>
        <w:rPr>
          <w:b/>
          <w:lang w:val="fr-FR"/>
        </w:rPr>
      </w:pPr>
    </w:p>
    <w:p w14:paraId="71F80FB9" w14:textId="706CA43D" w:rsidR="00F30E0D" w:rsidRPr="005508A7" w:rsidRDefault="00F30E0D" w:rsidP="00F30E0D">
      <w:pPr>
        <w:rPr>
          <w:lang w:val="fr-FR"/>
        </w:rPr>
      </w:pPr>
      <w:r w:rsidRPr="005508A7">
        <w:rPr>
          <w:lang w:val="fr-FR"/>
        </w:rPr>
        <w:t>En vue de trouver ensemble une solution à tout litige qui surviendrait dans l'exécution du présent contrat, les contractants conviennent de se réunir dans les 15 jours à compter de la réception d'une lettre recommandée avec demande d'avis de réception, notifiée par l'une des deux parties, ou d’un message électronique signé numériquement.</w:t>
      </w:r>
    </w:p>
    <w:p w14:paraId="040A3A90" w14:textId="77777777" w:rsidR="00F30E0D" w:rsidRPr="005508A7" w:rsidRDefault="00F30E0D" w:rsidP="00F30E0D">
      <w:pPr>
        <w:rPr>
          <w:lang w:val="fr-FR"/>
        </w:rPr>
      </w:pPr>
      <w:r w:rsidRPr="005508A7">
        <w:rPr>
          <w:lang w:val="fr-FR"/>
        </w:rPr>
        <w:t>Si au terme d'un nouveau délai de quinze jours, les parties n'arrivaient pas à se mettre d'accord sur un compromis ou une solution, le litige serait alors soumis à un médiateur, dans les conditions suivantes.</w:t>
      </w:r>
    </w:p>
    <w:p w14:paraId="17755A9E" w14:textId="77777777" w:rsidR="00F30E0D" w:rsidRPr="005508A7" w:rsidRDefault="00F30E0D" w:rsidP="00F30E0D">
      <w:pPr>
        <w:rPr>
          <w:lang w:val="fr-FR"/>
        </w:rPr>
      </w:pPr>
    </w:p>
    <w:p w14:paraId="0C220AA3" w14:textId="77777777" w:rsidR="00F30E0D" w:rsidRPr="005508A7" w:rsidRDefault="00F30E0D" w:rsidP="00F30E0D">
      <w:pPr>
        <w:rPr>
          <w:b/>
          <w:lang w:val="fr-FR"/>
        </w:rPr>
      </w:pPr>
      <w:r w:rsidRPr="005508A7">
        <w:rPr>
          <w:b/>
          <w:lang w:val="fr-FR"/>
        </w:rPr>
        <w:t>Médiation</w:t>
      </w:r>
    </w:p>
    <w:p w14:paraId="10FEBB47" w14:textId="77777777" w:rsidR="00F30E0D" w:rsidRPr="005508A7" w:rsidRDefault="00F30E0D" w:rsidP="00F30E0D">
      <w:pPr>
        <w:rPr>
          <w:lang w:val="fr-FR"/>
        </w:rPr>
      </w:pPr>
    </w:p>
    <w:p w14:paraId="17633EC7" w14:textId="77777777" w:rsidR="00F30E0D" w:rsidRPr="005508A7" w:rsidRDefault="00F30E0D" w:rsidP="00F30E0D">
      <w:pPr>
        <w:rPr>
          <w:lang w:val="fr-FR"/>
        </w:rPr>
      </w:pPr>
      <w:r w:rsidRPr="005508A7">
        <w:rPr>
          <w:lang w:val="fr-FR"/>
        </w:rPr>
        <w:t>Pour tous différends ou divergences d'interprétation relatifs à l'exécution ou à la cessation du présent contrat, les parties conviennent de désigner d'un commun accord un médiateur.</w:t>
      </w:r>
    </w:p>
    <w:p w14:paraId="556C23AB" w14:textId="77777777" w:rsidR="00F30E0D" w:rsidRPr="005508A7" w:rsidRDefault="00F30E0D" w:rsidP="00F30E0D">
      <w:pPr>
        <w:rPr>
          <w:lang w:val="fr-FR"/>
        </w:rPr>
      </w:pPr>
    </w:p>
    <w:p w14:paraId="30A14CFC" w14:textId="77777777" w:rsidR="00F30E0D" w:rsidRPr="005508A7" w:rsidRDefault="00F30E0D" w:rsidP="00F30E0D">
      <w:pPr>
        <w:rPr>
          <w:b/>
          <w:lang w:val="fr-FR"/>
        </w:rPr>
      </w:pPr>
      <w:r w:rsidRPr="005508A7">
        <w:rPr>
          <w:b/>
          <w:lang w:val="fr-FR"/>
        </w:rPr>
        <w:t xml:space="preserve">Compétence judiciaire </w:t>
      </w:r>
    </w:p>
    <w:p w14:paraId="6BD28C3D" w14:textId="28E0D8CE" w:rsidR="00F30E0D" w:rsidRPr="005508A7" w:rsidRDefault="00F30E0D" w:rsidP="00F30E0D">
      <w:pPr>
        <w:rPr>
          <w:lang w:val="fr-FR"/>
        </w:rPr>
      </w:pPr>
    </w:p>
    <w:p w14:paraId="075AE5B1" w14:textId="2C160958" w:rsidR="00F30E0D" w:rsidRPr="005508A7" w:rsidRDefault="00F30E0D" w:rsidP="00F30E0D">
      <w:pPr>
        <w:rPr>
          <w:lang w:val="fr-FR"/>
        </w:rPr>
      </w:pPr>
      <w:r w:rsidRPr="005508A7">
        <w:rPr>
          <w:lang w:val="fr-FR"/>
        </w:rPr>
        <w:lastRenderedPageBreak/>
        <w:t>En cas d'échec de la médiation, les parties reprendront leur entière liberté et le différent sera soumis aux juridictions de droit commun. En ce cas, le litige serait porté à la connaissance du tribunal de Romans.</w:t>
      </w:r>
    </w:p>
    <w:p w14:paraId="452A6F92" w14:textId="77777777" w:rsidR="00F30E0D" w:rsidRPr="005508A7" w:rsidRDefault="00F30E0D" w:rsidP="00F30E0D">
      <w:pPr>
        <w:rPr>
          <w:lang w:val="fr-FR"/>
        </w:rPr>
      </w:pPr>
    </w:p>
    <w:p w14:paraId="08071DB1" w14:textId="77777777" w:rsidR="00F30E0D" w:rsidRPr="005508A7" w:rsidRDefault="00F30E0D" w:rsidP="00F30E0D">
      <w:pPr>
        <w:rPr>
          <w:b/>
          <w:lang w:val="fr-FR"/>
        </w:rPr>
      </w:pPr>
      <w:r w:rsidRPr="005508A7">
        <w:rPr>
          <w:b/>
          <w:lang w:val="fr-FR"/>
        </w:rPr>
        <w:t>Article 13 - Election de domicile</w:t>
      </w:r>
    </w:p>
    <w:p w14:paraId="140AC720" w14:textId="77777777" w:rsidR="00F30E0D" w:rsidRPr="005508A7" w:rsidRDefault="00F30E0D" w:rsidP="00F30E0D">
      <w:pPr>
        <w:rPr>
          <w:b/>
          <w:lang w:val="fr-FR"/>
        </w:rPr>
      </w:pPr>
    </w:p>
    <w:p w14:paraId="7C85D676" w14:textId="77777777" w:rsidR="00F30E0D" w:rsidRPr="005508A7" w:rsidRDefault="00F30E0D" w:rsidP="00F30E0D">
      <w:pPr>
        <w:rPr>
          <w:lang w:val="fr-FR"/>
        </w:rPr>
      </w:pPr>
      <w:r w:rsidRPr="005508A7">
        <w:rPr>
          <w:lang w:val="fr-FR"/>
        </w:rPr>
        <w:t>Pour l'exécution des présentes ainsi que de leurs suites, les parties font respectivement élection de domicile en leurs sièges sociaux indiqués en tête des présentes.</w:t>
      </w:r>
    </w:p>
    <w:p w14:paraId="358163C8" w14:textId="77777777" w:rsidR="00F30E0D" w:rsidRPr="005508A7" w:rsidRDefault="00F30E0D" w:rsidP="00F30E0D">
      <w:pPr>
        <w:rPr>
          <w:lang w:val="fr-FR"/>
        </w:rPr>
      </w:pPr>
    </w:p>
    <w:p w14:paraId="3FDDAD53" w14:textId="56A3C76A" w:rsidR="00F30E0D" w:rsidRPr="005508A7" w:rsidRDefault="00F30E0D" w:rsidP="00F30E0D">
      <w:pPr>
        <w:rPr>
          <w:lang w:val="fr-FR"/>
        </w:rPr>
      </w:pPr>
      <w:r w:rsidRPr="005508A7">
        <w:rPr>
          <w:lang w:val="fr-FR"/>
        </w:rPr>
        <w:t>Toute modification du siège social ou de l'adresse de l'une des parties ne sera opposable à l'autre partie que huit jours après lui avoir été dûment notifiée par lettre recommandée avec demande d’avis de réception ou par message électronique signé numériquement.</w:t>
      </w:r>
    </w:p>
    <w:p w14:paraId="2D5479E8" w14:textId="0FC84D03" w:rsidR="00C019AD" w:rsidRPr="005508A7" w:rsidRDefault="00C019AD" w:rsidP="001C242C">
      <w:pPr>
        <w:jc w:val="both"/>
        <w:rPr>
          <w:szCs w:val="24"/>
          <w:lang w:val="fr-FR"/>
        </w:rPr>
      </w:pPr>
    </w:p>
    <w:p w14:paraId="1CD58410" w14:textId="77777777" w:rsidR="00424CD7" w:rsidRPr="005508A7" w:rsidRDefault="00424CD7" w:rsidP="001C242C">
      <w:pPr>
        <w:jc w:val="both"/>
        <w:rPr>
          <w:szCs w:val="24"/>
          <w:lang w:val="fr-FR"/>
        </w:rPr>
      </w:pPr>
    </w:p>
    <w:p w14:paraId="463817EE" w14:textId="77777777" w:rsidR="001C242C" w:rsidRPr="005508A7" w:rsidRDefault="001C242C" w:rsidP="001C242C">
      <w:pPr>
        <w:jc w:val="both"/>
        <w:rPr>
          <w:szCs w:val="24"/>
          <w:lang w:val="fr-FR"/>
        </w:rPr>
      </w:pPr>
      <w:r w:rsidRPr="005508A7">
        <w:rPr>
          <w:szCs w:val="24"/>
          <w:lang w:val="fr-FR"/>
        </w:rPr>
        <w:t>Fait en deux exemplaires originaux, avec date d'effet au</w:t>
      </w:r>
      <w:r w:rsidR="00856928" w:rsidRPr="005508A7">
        <w:rPr>
          <w:szCs w:val="24"/>
          <w:lang w:val="fr-FR"/>
        </w:rPr>
        <w:t xml:space="preserve"> </w:t>
      </w:r>
      <w:r w:rsidRPr="005508A7">
        <w:rPr>
          <w:szCs w:val="24"/>
          <w:lang w:val="fr-FR"/>
        </w:rPr>
        <w:t xml:space="preserve">:  </w:t>
      </w:r>
      <w:r w:rsidRPr="005C5BD8">
        <w:rPr>
          <w:szCs w:val="24"/>
          <w:lang w:val="fr-FR"/>
        </w:rPr>
        <w:t xml:space="preserve">________________ </w:t>
      </w:r>
      <w:r w:rsidRPr="005508A7">
        <w:rPr>
          <w:szCs w:val="24"/>
          <w:lang w:val="fr-FR"/>
        </w:rPr>
        <w:t xml:space="preserve"> </w:t>
      </w:r>
    </w:p>
    <w:p w14:paraId="70FACF30" w14:textId="77777777" w:rsidR="001C242C" w:rsidRPr="005508A7" w:rsidRDefault="001C242C" w:rsidP="009E1AA5">
      <w:pPr>
        <w:jc w:val="both"/>
        <w:rPr>
          <w:szCs w:val="24"/>
          <w:lang w:val="fr-FR"/>
        </w:rPr>
      </w:pPr>
    </w:p>
    <w:p w14:paraId="60EB5A73" w14:textId="77777777" w:rsidR="001C242C" w:rsidRPr="005508A7" w:rsidRDefault="00102031" w:rsidP="001C242C">
      <w:pPr>
        <w:jc w:val="both"/>
        <w:rPr>
          <w:szCs w:val="24"/>
          <w:lang w:val="fr-FR"/>
        </w:rPr>
      </w:pPr>
      <w:r w:rsidRPr="005508A7">
        <w:rPr>
          <w:szCs w:val="24"/>
          <w:lang w:val="fr-FR"/>
        </w:rPr>
        <w:t>Pour ADCET</w:t>
      </w:r>
      <w:r w:rsidR="001C242C" w:rsidRPr="005508A7">
        <w:rPr>
          <w:szCs w:val="24"/>
          <w:lang w:val="fr-FR"/>
        </w:rPr>
        <w:t>,</w:t>
      </w:r>
    </w:p>
    <w:p w14:paraId="3FF9CAEA" w14:textId="77777777" w:rsidR="001C242C" w:rsidRPr="005508A7" w:rsidRDefault="001C242C" w:rsidP="001C242C">
      <w:pPr>
        <w:jc w:val="both"/>
        <w:rPr>
          <w:szCs w:val="24"/>
          <w:lang w:val="fr-FR"/>
        </w:rPr>
      </w:pPr>
    </w:p>
    <w:p w14:paraId="6CEA4461" w14:textId="11AACE0F" w:rsidR="001C242C" w:rsidRPr="005508A7" w:rsidRDefault="009A14BD" w:rsidP="001C242C">
      <w:pPr>
        <w:jc w:val="both"/>
        <w:rPr>
          <w:szCs w:val="24"/>
          <w:lang w:val="fr-FR"/>
        </w:rPr>
      </w:pPr>
      <w:r>
        <w:rPr>
          <w:szCs w:val="24"/>
          <w:lang w:val="fr-FR"/>
        </w:rPr>
        <w:tab/>
        <w:t>La</w:t>
      </w:r>
      <w:r w:rsidR="007D52E5" w:rsidRPr="005508A7">
        <w:rPr>
          <w:szCs w:val="24"/>
          <w:lang w:val="fr-FR"/>
        </w:rPr>
        <w:t xml:space="preserve"> </w:t>
      </w:r>
      <w:r w:rsidR="007D52E5" w:rsidRPr="005C5BD8">
        <w:rPr>
          <w:szCs w:val="24"/>
          <w:lang w:val="fr-FR"/>
        </w:rPr>
        <w:t>Date de la signature</w:t>
      </w:r>
    </w:p>
    <w:p w14:paraId="724E211D" w14:textId="77777777" w:rsidR="001C242C" w:rsidRPr="005508A7" w:rsidRDefault="001C242C" w:rsidP="001C242C">
      <w:pPr>
        <w:jc w:val="both"/>
        <w:rPr>
          <w:szCs w:val="24"/>
          <w:lang w:val="fr-FR"/>
        </w:rPr>
      </w:pPr>
    </w:p>
    <w:p w14:paraId="3A595AAF" w14:textId="77777777" w:rsidR="001C242C" w:rsidRPr="005508A7" w:rsidRDefault="001C242C" w:rsidP="001C242C">
      <w:pPr>
        <w:jc w:val="both"/>
        <w:rPr>
          <w:szCs w:val="24"/>
          <w:lang w:val="fr-FR"/>
        </w:rPr>
      </w:pPr>
    </w:p>
    <w:p w14:paraId="10F8BCE0" w14:textId="77777777" w:rsidR="00605708" w:rsidRPr="005508A7" w:rsidRDefault="00605708" w:rsidP="001C242C">
      <w:pPr>
        <w:jc w:val="both"/>
        <w:rPr>
          <w:szCs w:val="24"/>
          <w:lang w:val="fr-FR"/>
        </w:rPr>
      </w:pPr>
    </w:p>
    <w:p w14:paraId="317293ED" w14:textId="77777777" w:rsidR="001C242C" w:rsidRPr="005508A7" w:rsidRDefault="006D1712" w:rsidP="001C242C">
      <w:pPr>
        <w:jc w:val="both"/>
        <w:rPr>
          <w:szCs w:val="24"/>
          <w:lang w:val="fr-FR"/>
        </w:rPr>
      </w:pPr>
      <w:r w:rsidRPr="005508A7">
        <w:rPr>
          <w:szCs w:val="24"/>
          <w:lang w:val="fr-FR"/>
        </w:rPr>
        <w:t>Philippe Rousselet</w:t>
      </w:r>
      <w:r w:rsidR="001C242C" w:rsidRPr="005508A7">
        <w:rPr>
          <w:szCs w:val="24"/>
          <w:lang w:val="fr-FR"/>
        </w:rPr>
        <w:tab/>
      </w:r>
      <w:r w:rsidR="001C242C" w:rsidRPr="005508A7">
        <w:rPr>
          <w:szCs w:val="24"/>
          <w:lang w:val="fr-FR"/>
        </w:rPr>
        <w:tab/>
      </w:r>
      <w:r w:rsidR="001C242C" w:rsidRPr="005508A7">
        <w:rPr>
          <w:szCs w:val="24"/>
          <w:lang w:val="fr-FR"/>
        </w:rPr>
        <w:tab/>
      </w:r>
      <w:r w:rsidR="001C242C" w:rsidRPr="005508A7">
        <w:rPr>
          <w:szCs w:val="24"/>
          <w:lang w:val="fr-FR"/>
        </w:rPr>
        <w:tab/>
      </w:r>
      <w:r w:rsidR="001C242C" w:rsidRPr="005508A7">
        <w:rPr>
          <w:szCs w:val="24"/>
          <w:lang w:val="fr-FR"/>
        </w:rPr>
        <w:tab/>
      </w:r>
      <w:r w:rsidR="001C242C" w:rsidRPr="005508A7">
        <w:rPr>
          <w:szCs w:val="24"/>
          <w:lang w:val="fr-FR"/>
        </w:rPr>
        <w:tab/>
      </w:r>
    </w:p>
    <w:p w14:paraId="13A1A791" w14:textId="77777777" w:rsidR="001C242C" w:rsidRPr="005508A7" w:rsidRDefault="006D1712" w:rsidP="001C242C">
      <w:pPr>
        <w:jc w:val="both"/>
        <w:rPr>
          <w:szCs w:val="24"/>
          <w:lang w:val="fr-FR"/>
        </w:rPr>
      </w:pPr>
      <w:r w:rsidRPr="005508A7">
        <w:rPr>
          <w:i/>
          <w:szCs w:val="24"/>
          <w:lang w:val="fr-FR"/>
        </w:rPr>
        <w:t>Secrétaire général</w:t>
      </w:r>
      <w:r w:rsidR="001C242C" w:rsidRPr="005508A7">
        <w:rPr>
          <w:szCs w:val="24"/>
          <w:lang w:val="fr-FR"/>
        </w:rPr>
        <w:tab/>
      </w:r>
      <w:r w:rsidR="001C242C" w:rsidRPr="005508A7">
        <w:rPr>
          <w:szCs w:val="24"/>
          <w:lang w:val="fr-FR"/>
        </w:rPr>
        <w:tab/>
      </w:r>
      <w:r w:rsidR="001C242C" w:rsidRPr="005508A7">
        <w:rPr>
          <w:szCs w:val="24"/>
          <w:lang w:val="fr-FR"/>
        </w:rPr>
        <w:tab/>
      </w:r>
      <w:r w:rsidR="001C242C" w:rsidRPr="005508A7">
        <w:rPr>
          <w:szCs w:val="24"/>
          <w:lang w:val="fr-FR"/>
        </w:rPr>
        <w:tab/>
      </w:r>
      <w:r w:rsidR="001C242C" w:rsidRPr="005508A7">
        <w:rPr>
          <w:szCs w:val="24"/>
          <w:lang w:val="fr-FR"/>
        </w:rPr>
        <w:tab/>
      </w:r>
      <w:r w:rsidR="001C242C" w:rsidRPr="005508A7">
        <w:rPr>
          <w:szCs w:val="24"/>
          <w:lang w:val="fr-FR"/>
        </w:rPr>
        <w:tab/>
      </w:r>
      <w:r w:rsidR="001C242C" w:rsidRPr="005508A7">
        <w:rPr>
          <w:szCs w:val="24"/>
          <w:lang w:val="fr-FR"/>
        </w:rPr>
        <w:tab/>
      </w:r>
    </w:p>
    <w:p w14:paraId="3BA62F8E" w14:textId="77777777" w:rsidR="001C242C" w:rsidRPr="005508A7" w:rsidRDefault="001C242C" w:rsidP="001C242C">
      <w:pPr>
        <w:jc w:val="both"/>
        <w:rPr>
          <w:szCs w:val="24"/>
          <w:lang w:val="fr-FR"/>
        </w:rPr>
      </w:pPr>
    </w:p>
    <w:p w14:paraId="717B382B" w14:textId="77777777" w:rsidR="001C242C" w:rsidRPr="005508A7" w:rsidRDefault="001C242C" w:rsidP="001C242C">
      <w:pPr>
        <w:jc w:val="both"/>
        <w:rPr>
          <w:szCs w:val="24"/>
          <w:lang w:val="fr-FR"/>
        </w:rPr>
      </w:pPr>
    </w:p>
    <w:p w14:paraId="1F26C4CE" w14:textId="62C137C6" w:rsidR="001C242C" w:rsidRPr="005508A7" w:rsidRDefault="001C242C" w:rsidP="001C242C">
      <w:pPr>
        <w:jc w:val="both"/>
        <w:rPr>
          <w:szCs w:val="24"/>
          <w:lang w:val="fr-FR"/>
        </w:rPr>
      </w:pPr>
      <w:r w:rsidRPr="005508A7">
        <w:rPr>
          <w:szCs w:val="24"/>
          <w:lang w:val="fr-FR"/>
        </w:rPr>
        <w:t xml:space="preserve">Pour </w:t>
      </w:r>
      <w:r w:rsidRPr="005C5BD8">
        <w:rPr>
          <w:i/>
          <w:szCs w:val="24"/>
          <w:lang w:val="fr-FR"/>
        </w:rPr>
        <w:t>l'</w:t>
      </w:r>
      <w:r w:rsidR="009677F2" w:rsidRPr="005C5BD8">
        <w:rPr>
          <w:i/>
          <w:szCs w:val="24"/>
          <w:lang w:val="fr-FR"/>
        </w:rPr>
        <w:t>Entité Utilisatrice</w:t>
      </w:r>
    </w:p>
    <w:p w14:paraId="2D58DDFE" w14:textId="77777777" w:rsidR="001C242C" w:rsidRPr="005508A7" w:rsidRDefault="001C242C" w:rsidP="001C242C">
      <w:pPr>
        <w:jc w:val="both"/>
        <w:rPr>
          <w:szCs w:val="24"/>
          <w:lang w:val="fr-FR"/>
        </w:rPr>
      </w:pPr>
    </w:p>
    <w:p w14:paraId="02C8E382" w14:textId="121233F4" w:rsidR="00424CD7" w:rsidRPr="005508A7" w:rsidRDefault="001C242C" w:rsidP="00F30E0D">
      <w:pPr>
        <w:jc w:val="both"/>
        <w:rPr>
          <w:szCs w:val="24"/>
          <w:lang w:val="fr-FR"/>
        </w:rPr>
      </w:pPr>
      <w:r w:rsidRPr="005508A7">
        <w:rPr>
          <w:szCs w:val="24"/>
          <w:lang w:val="fr-FR"/>
        </w:rPr>
        <w:tab/>
      </w:r>
      <w:r w:rsidR="009A14BD">
        <w:rPr>
          <w:szCs w:val="24"/>
          <w:lang w:val="fr-FR"/>
        </w:rPr>
        <w:t>La</w:t>
      </w:r>
      <w:r w:rsidR="007D52E5" w:rsidRPr="005508A7">
        <w:rPr>
          <w:szCs w:val="24"/>
          <w:lang w:val="fr-FR"/>
        </w:rPr>
        <w:t xml:space="preserve"> </w:t>
      </w:r>
      <w:r w:rsidR="007D52E5" w:rsidRPr="005C5BD8">
        <w:rPr>
          <w:szCs w:val="24"/>
          <w:lang w:val="fr-FR"/>
        </w:rPr>
        <w:t>Date de la signature</w:t>
      </w:r>
    </w:p>
    <w:p w14:paraId="16CA556A" w14:textId="319CFFDE" w:rsidR="001C242C" w:rsidRPr="005508A7" w:rsidRDefault="001C242C" w:rsidP="00F30E0D">
      <w:pPr>
        <w:jc w:val="both"/>
        <w:rPr>
          <w:szCs w:val="24"/>
          <w:lang w:val="fr-FR"/>
        </w:rPr>
      </w:pPr>
    </w:p>
    <w:p w14:paraId="6B3B8FB5" w14:textId="77777777" w:rsidR="001C242C" w:rsidRPr="005508A7" w:rsidRDefault="001C242C" w:rsidP="001C242C">
      <w:pPr>
        <w:ind w:left="360"/>
        <w:jc w:val="both"/>
        <w:rPr>
          <w:szCs w:val="24"/>
          <w:lang w:val="fr-FR"/>
        </w:rPr>
      </w:pPr>
    </w:p>
    <w:p w14:paraId="6705088A" w14:textId="77777777" w:rsidR="001C242C" w:rsidRPr="005C5BD8" w:rsidRDefault="00586F44" w:rsidP="001C242C">
      <w:pPr>
        <w:jc w:val="both"/>
        <w:rPr>
          <w:szCs w:val="24"/>
          <w:u w:val="single"/>
          <w:lang w:val="fr-FR"/>
        </w:rPr>
      </w:pPr>
      <w:r w:rsidRPr="005C5BD8">
        <w:rPr>
          <w:szCs w:val="24"/>
          <w:lang w:val="fr-FR"/>
        </w:rPr>
        <w:t>Nom du r</w:t>
      </w:r>
      <w:r w:rsidR="001C242C" w:rsidRPr="005C5BD8">
        <w:rPr>
          <w:szCs w:val="24"/>
          <w:lang w:val="fr-FR"/>
        </w:rPr>
        <w:t>eprésentant</w:t>
      </w:r>
    </w:p>
    <w:p w14:paraId="472584A7" w14:textId="404BB8A3" w:rsidR="007010E5" w:rsidRPr="005508A7" w:rsidRDefault="00114113" w:rsidP="00424CD7">
      <w:pPr>
        <w:rPr>
          <w:i/>
          <w:szCs w:val="24"/>
          <w:lang w:val="fr-FR"/>
        </w:rPr>
      </w:pPr>
      <w:r w:rsidRPr="005C5BD8">
        <w:rPr>
          <w:i/>
          <w:szCs w:val="24"/>
          <w:lang w:val="fr-FR"/>
        </w:rPr>
        <w:t>Fonction</w:t>
      </w:r>
      <w:r w:rsidR="00BA1A67" w:rsidRPr="005508A7">
        <w:rPr>
          <w:noProof/>
          <w:szCs w:val="24"/>
          <w:lang w:val="fr-FR" w:bidi="he-IL"/>
        </w:rPr>
        <mc:AlternateContent>
          <mc:Choice Requires="wps">
            <w:drawing>
              <wp:anchor distT="4294967295" distB="4294967295" distL="114300" distR="114300" simplePos="0" relativeHeight="251657728" behindDoc="0" locked="0" layoutInCell="1" allowOverlap="1" wp14:anchorId="7DE46B6C" wp14:editId="1058F8C1">
                <wp:simplePos x="0" y="0"/>
                <wp:positionH relativeFrom="column">
                  <wp:posOffset>927100</wp:posOffset>
                </wp:positionH>
                <wp:positionV relativeFrom="paragraph">
                  <wp:posOffset>8091169</wp:posOffset>
                </wp:positionV>
                <wp:extent cx="4800600" cy="0"/>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5DFF010C" id="Line 1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637.1pt" to="451pt,6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HD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"/>
            </w:pict>
          </mc:Fallback>
        </mc:AlternateContent>
      </w:r>
    </w:p>
    <w:sectPr w:rsidR="007010E5" w:rsidRPr="005508A7" w:rsidSect="00467CE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283" w:footer="283" w:gutter="0"/>
      <w:cols w:space="720" w:equalWidth="0">
        <w:col w:w="9213"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880EA" w14:textId="77777777" w:rsidR="00B97F7E" w:rsidRDefault="00B97F7E">
      <w:r>
        <w:separator/>
      </w:r>
    </w:p>
  </w:endnote>
  <w:endnote w:type="continuationSeparator" w:id="0">
    <w:p w14:paraId="4F8D5C20" w14:textId="77777777" w:rsidR="00B97F7E" w:rsidRDefault="00B9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40E3" w14:textId="77777777" w:rsidR="00FC6A6E" w:rsidRDefault="00FC6A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7FCE" w14:textId="77777777" w:rsidR="00B272A6" w:rsidRDefault="00B272A6" w:rsidP="00CC31FB">
    <w:pPr>
      <w:pStyle w:val="Pieddepage"/>
      <w:pBdr>
        <w:bottom w:val="single" w:sz="4" w:space="0" w:color="808080"/>
      </w:pBdr>
      <w:tabs>
        <w:tab w:val="clear" w:pos="4536"/>
        <w:tab w:val="clear" w:pos="9072"/>
        <w:tab w:val="right" w:pos="9498"/>
      </w:tabs>
      <w:rPr>
        <w:rFonts w:ascii="Arial" w:hAnsi="Arial"/>
        <w:b/>
        <w:color w:val="808080"/>
        <w:sz w:val="22"/>
      </w:rPr>
    </w:pPr>
  </w:p>
  <w:p w14:paraId="3BA100C1" w14:textId="4B2811A0" w:rsidR="00B272A6" w:rsidRPr="003C2A8D" w:rsidRDefault="00C93160" w:rsidP="00CC31FB">
    <w:pPr>
      <w:pStyle w:val="Pieddepage"/>
      <w:pBdr>
        <w:bottom w:val="single" w:sz="4" w:space="0" w:color="808080"/>
      </w:pBdr>
      <w:tabs>
        <w:tab w:val="clear" w:pos="4536"/>
        <w:tab w:val="clear" w:pos="9072"/>
        <w:tab w:val="right" w:pos="9498"/>
      </w:tabs>
      <w:rPr>
        <w:rFonts w:ascii="Arial" w:hAnsi="Arial"/>
        <w:b/>
        <w:color w:val="808080"/>
        <w:sz w:val="22"/>
        <w:lang w:val="fr-FR"/>
      </w:rPr>
    </w:pPr>
    <w:r w:rsidRPr="003C2A8D">
      <w:rPr>
        <w:rFonts w:ascii="Arial" w:hAnsi="Arial"/>
        <w:b/>
        <w:color w:val="808080"/>
        <w:sz w:val="22"/>
        <w:lang w:val="fr-FR"/>
      </w:rPr>
      <w:t>ADCET</w:t>
    </w:r>
    <w:r w:rsidR="00B272A6" w:rsidRPr="003C2A8D">
      <w:rPr>
        <w:rFonts w:ascii="Arial" w:hAnsi="Arial"/>
        <w:b/>
        <w:color w:val="808080"/>
        <w:sz w:val="22"/>
        <w:lang w:val="fr-FR"/>
      </w:rPr>
      <w:tab/>
    </w:r>
    <w:r w:rsidR="00B272A6" w:rsidRPr="003C2A8D">
      <w:rPr>
        <w:rFonts w:ascii="Arial" w:hAnsi="Arial"/>
        <w:color w:val="808080"/>
        <w:lang w:val="fr-FR"/>
      </w:rPr>
      <w:t xml:space="preserve"> Page </w:t>
    </w:r>
    <w:r w:rsidR="0060247C" w:rsidRPr="00CC31FB">
      <w:rPr>
        <w:rFonts w:ascii="Arial" w:hAnsi="Arial"/>
        <w:color w:val="808080"/>
      </w:rPr>
      <w:fldChar w:fldCharType="begin"/>
    </w:r>
    <w:r w:rsidR="00B272A6" w:rsidRPr="003C2A8D">
      <w:rPr>
        <w:rFonts w:ascii="Arial" w:hAnsi="Arial"/>
        <w:color w:val="808080"/>
        <w:lang w:val="fr-FR"/>
      </w:rPr>
      <w:instrText xml:space="preserve"> PAGE </w:instrText>
    </w:r>
    <w:r w:rsidR="0060247C" w:rsidRPr="00CC31FB">
      <w:rPr>
        <w:rFonts w:ascii="Arial" w:hAnsi="Arial"/>
        <w:color w:val="808080"/>
      </w:rPr>
      <w:fldChar w:fldCharType="separate"/>
    </w:r>
    <w:r w:rsidR="008F2C74">
      <w:rPr>
        <w:rFonts w:ascii="Arial" w:hAnsi="Arial"/>
        <w:noProof/>
        <w:color w:val="808080"/>
        <w:lang w:val="fr-FR"/>
      </w:rPr>
      <w:t>9</w:t>
    </w:r>
    <w:r w:rsidR="0060247C" w:rsidRPr="00CC31FB">
      <w:rPr>
        <w:rFonts w:ascii="Arial" w:hAnsi="Arial"/>
        <w:color w:val="808080"/>
      </w:rPr>
      <w:fldChar w:fldCharType="end"/>
    </w:r>
    <w:r w:rsidR="00B272A6" w:rsidRPr="003C2A8D">
      <w:rPr>
        <w:rFonts w:ascii="Arial" w:hAnsi="Arial"/>
        <w:color w:val="808080"/>
        <w:lang w:val="fr-FR"/>
      </w:rPr>
      <w:t xml:space="preserve"> de </w:t>
    </w:r>
    <w:r w:rsidR="0060247C" w:rsidRPr="00CC31FB">
      <w:rPr>
        <w:rFonts w:ascii="Arial" w:hAnsi="Arial"/>
        <w:color w:val="808080"/>
      </w:rPr>
      <w:fldChar w:fldCharType="begin"/>
    </w:r>
    <w:r w:rsidR="00B272A6" w:rsidRPr="003C2A8D">
      <w:rPr>
        <w:rFonts w:ascii="Arial" w:hAnsi="Arial"/>
        <w:color w:val="808080"/>
        <w:lang w:val="fr-FR"/>
      </w:rPr>
      <w:instrText xml:space="preserve"> NUMPAGES </w:instrText>
    </w:r>
    <w:r w:rsidR="0060247C" w:rsidRPr="00CC31FB">
      <w:rPr>
        <w:rFonts w:ascii="Arial" w:hAnsi="Arial"/>
        <w:color w:val="808080"/>
      </w:rPr>
      <w:fldChar w:fldCharType="separate"/>
    </w:r>
    <w:r w:rsidR="008F2C74">
      <w:rPr>
        <w:rFonts w:ascii="Arial" w:hAnsi="Arial"/>
        <w:noProof/>
        <w:color w:val="808080"/>
        <w:lang w:val="fr-FR"/>
      </w:rPr>
      <w:t>9</w:t>
    </w:r>
    <w:r w:rsidR="0060247C" w:rsidRPr="00CC31FB">
      <w:rPr>
        <w:rFonts w:ascii="Arial" w:hAnsi="Arial"/>
        <w:color w:val="808080"/>
      </w:rPr>
      <w:fldChar w:fldCharType="end"/>
    </w:r>
    <w:r w:rsidR="00B272A6" w:rsidRPr="003C2A8D">
      <w:rPr>
        <w:rFonts w:ascii="Arial" w:hAnsi="Arial"/>
        <w:b/>
        <w:color w:val="808080"/>
        <w:sz w:val="22"/>
        <w:lang w:val="fr-FR"/>
      </w:rPr>
      <w:t xml:space="preserve"> </w:t>
    </w:r>
  </w:p>
  <w:p w14:paraId="2AA6D1A5" w14:textId="77777777" w:rsidR="00B272A6" w:rsidRPr="003C2A8D" w:rsidRDefault="00C93160" w:rsidP="00467CED">
    <w:pPr>
      <w:pStyle w:val="Pieddepage"/>
      <w:tabs>
        <w:tab w:val="clear" w:pos="4536"/>
        <w:tab w:val="clear" w:pos="9072"/>
        <w:tab w:val="right" w:pos="9498"/>
      </w:tabs>
      <w:spacing w:before="60"/>
      <w:rPr>
        <w:rFonts w:ascii="Arial" w:hAnsi="Arial"/>
        <w:color w:val="808080"/>
        <w:lang w:val="fr-FR"/>
      </w:rPr>
    </w:pPr>
    <w:r w:rsidRPr="003C2A8D">
      <w:rPr>
        <w:rFonts w:ascii="Arial" w:hAnsi="Arial"/>
        <w:color w:val="808080"/>
        <w:lang w:val="fr-FR"/>
      </w:rPr>
      <w:t>80 rue du château 26740 Montboucher sur Jabron</w:t>
    </w:r>
    <w:r w:rsidR="00B272A6" w:rsidRPr="003C2A8D">
      <w:rPr>
        <w:rFonts w:ascii="Arial" w:hAnsi="Arial"/>
        <w:color w:val="808080"/>
        <w:lang w:val="fr-FR"/>
      </w:rPr>
      <w:tab/>
    </w:r>
    <w:r w:rsidRPr="003C2A8D">
      <w:rPr>
        <w:rFonts w:ascii="Arial" w:hAnsi="Arial"/>
        <w:b/>
        <w:color w:val="808080"/>
        <w:lang w:val="fr-FR"/>
      </w:rPr>
      <w:t>www.adcet</w:t>
    </w:r>
    <w:r w:rsidR="00B272A6" w:rsidRPr="003C2A8D">
      <w:rPr>
        <w:rFonts w:ascii="Arial" w:hAnsi="Arial"/>
        <w:b/>
        <w:color w:val="808080"/>
        <w:lang w:val="fr-FR"/>
      </w:rPr>
      <w:t>.</w:t>
    </w:r>
    <w:r w:rsidR="00467CED" w:rsidRPr="003C2A8D">
      <w:rPr>
        <w:rFonts w:ascii="Arial" w:hAnsi="Arial"/>
        <w:b/>
        <w:color w:val="808080"/>
        <w:lang w:val="fr-FR"/>
      </w:rPr>
      <w:t>org</w:t>
    </w:r>
  </w:p>
  <w:p w14:paraId="5CC55F23" w14:textId="77777777" w:rsidR="00B272A6" w:rsidRDefault="00B272A6" w:rsidP="0091558D">
    <w:pPr>
      <w:pStyle w:val="Pieddepage"/>
      <w:tabs>
        <w:tab w:val="clear" w:pos="4536"/>
        <w:tab w:val="left" w:pos="1134"/>
        <w:tab w:val="left" w:pos="3402"/>
        <w:tab w:val="left" w:pos="6521"/>
      </w:tabs>
      <w:rPr>
        <w:rFonts w:ascii="Arial" w:hAnsi="Arial"/>
        <w:color w:val="808080"/>
        <w:sz w:val="18"/>
        <w:lang w:val="fr-FR"/>
      </w:rPr>
    </w:pPr>
    <w:r>
      <w:rPr>
        <w:rFonts w:ascii="Arial" w:hAnsi="Arial"/>
        <w:color w:val="808080"/>
        <w:lang w:val="fr-FR"/>
      </w:rPr>
      <w:t xml:space="preserve">Email </w:t>
    </w:r>
    <w:r w:rsidRPr="003C464F">
      <w:rPr>
        <w:rFonts w:ascii="Arial" w:hAnsi="Arial"/>
        <w:color w:val="808080"/>
        <w:lang w:val="fr-FR"/>
      </w:rPr>
      <w:t xml:space="preserve">: </w:t>
    </w:r>
    <w:hyperlink r:id="rId1" w:history="1">
      <w:r w:rsidR="00C93160" w:rsidRPr="0092071D">
        <w:rPr>
          <w:rStyle w:val="Lienhypertexte"/>
          <w:lang w:val="fr-FR"/>
        </w:rPr>
        <w:t>prousselet@adcet.org</w:t>
      </w:r>
    </w:hyperlink>
    <w:r w:rsidR="00C93160">
      <w:rPr>
        <w:lang w:val="fr-FR"/>
      </w:rPr>
      <w:t xml:space="preserve"> </w:t>
    </w:r>
    <w:r>
      <w:rPr>
        <w:rFonts w:ascii="Arial" w:hAnsi="Arial"/>
        <w:color w:val="808080"/>
        <w:lang w:val="fr-FR"/>
      </w:rPr>
      <w:tab/>
    </w:r>
    <w:r w:rsidRPr="003C464F">
      <w:rPr>
        <w:rFonts w:ascii="Arial" w:hAnsi="Arial"/>
        <w:color w:val="808080"/>
        <w:lang w:val="fr-FR"/>
      </w:rPr>
      <w:t>Sec</w:t>
    </w:r>
    <w:r w:rsidR="00C93160">
      <w:rPr>
        <w:rFonts w:ascii="Arial" w:hAnsi="Arial"/>
        <w:color w:val="808080"/>
        <w:lang w:val="fr-FR"/>
      </w:rPr>
      <w:t>rétariat tél : + 33 6 71 74 85 1 1</w:t>
    </w:r>
    <w:r w:rsidR="00C93160">
      <w:rPr>
        <w:rFonts w:ascii="Arial" w:hAnsi="Arial"/>
        <w:color w:val="80808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52C" w14:textId="70BF1B9E" w:rsidR="00264288" w:rsidRPr="00BA1A67" w:rsidRDefault="00BA1A67" w:rsidP="00BA1A67">
    <w:pPr>
      <w:pStyle w:val="Pieddepage"/>
      <w:tabs>
        <w:tab w:val="clear" w:pos="4536"/>
        <w:tab w:val="clear" w:pos="9072"/>
        <w:tab w:val="left" w:pos="2420"/>
      </w:tabs>
      <w:rPr>
        <w:lang w:val="fr-FR"/>
      </w:rPr>
    </w:pPr>
    <w:r>
      <w:tab/>
    </w:r>
    <w:r w:rsidR="001505CC">
      <w:rPr>
        <w:lang w:val="fr-FR"/>
      </w:rPr>
      <w:t>R</w:t>
    </w:r>
    <w:r w:rsidRPr="00BA1A67">
      <w:rPr>
        <w:lang w:val="fr-FR"/>
      </w:rPr>
      <w:t xml:space="preserve">éférence </w:t>
    </w:r>
    <w:r>
      <w:rPr>
        <w:lang w:val="fr-FR"/>
      </w:rPr>
      <w:fldChar w:fldCharType="begin"/>
    </w:r>
    <w:r>
      <w:rPr>
        <w:lang w:val="fr-FR"/>
      </w:rPr>
      <w:instrText xml:space="preserve"> FILENAME   \* MERGEFORMAT </w:instrText>
    </w:r>
    <w:r>
      <w:rPr>
        <w:lang w:val="fr-FR"/>
      </w:rPr>
      <w:fldChar w:fldCharType="separate"/>
    </w:r>
    <w:r w:rsidR="00FB31DA">
      <w:rPr>
        <w:noProof/>
        <w:lang w:val="fr-FR"/>
      </w:rPr>
      <w:t>Convention d'usage AMC 2019 V1.0.docx</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849B" w14:textId="77777777" w:rsidR="00B97F7E" w:rsidRDefault="00B97F7E">
      <w:r>
        <w:separator/>
      </w:r>
    </w:p>
  </w:footnote>
  <w:footnote w:type="continuationSeparator" w:id="0">
    <w:p w14:paraId="0B87A376" w14:textId="77777777" w:rsidR="00B97F7E" w:rsidRDefault="00B97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0C2A" w14:textId="77777777" w:rsidR="009E4533" w:rsidRDefault="00B97F7E">
    <w:pPr>
      <w:pStyle w:val="En-tte"/>
    </w:pPr>
    <w:r>
      <w:rPr>
        <w:noProof/>
      </w:rPr>
      <w:pict w14:anchorId="1BC8E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66.25pt;height:113.25pt;rotation:315;z-index:-251658240;mso-position-horizontal:center;mso-position-horizontal-relative:margin;mso-position-vertical:center;mso-position-vertical-relative:margin" o:allowincell="f" fillcolor="silver" stroked="f">
          <v:fill opacity=".5"/>
          <v:textpath style="font-family:&quot;Times New Roman&quot;;font-size:1pt" string="PROVISO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2650" w14:textId="44FAC56C" w:rsidR="00467CED" w:rsidRDefault="008618D8" w:rsidP="00467CED">
    <w:pPr>
      <w:pStyle w:val="En-tte"/>
    </w:pPr>
    <w:r>
      <w:rPr>
        <w:noProof/>
        <w:lang w:val="fr-FR" w:bidi="he-IL"/>
      </w:rPr>
      <w:drawing>
        <wp:anchor distT="0" distB="0" distL="114300" distR="114300" simplePos="0" relativeHeight="251657216" behindDoc="0" locked="0" layoutInCell="1" allowOverlap="1" wp14:anchorId="63748E9C" wp14:editId="79239E29">
          <wp:simplePos x="0" y="0"/>
          <wp:positionH relativeFrom="column">
            <wp:posOffset>5419816</wp:posOffset>
          </wp:positionH>
          <wp:positionV relativeFrom="paragraph">
            <wp:posOffset>92529</wp:posOffset>
          </wp:positionV>
          <wp:extent cx="600432" cy="338183"/>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C multiservicestransparent .png"/>
                  <pic:cNvPicPr/>
                </pic:nvPicPr>
                <pic:blipFill>
                  <a:blip r:embed="rId1">
                    <a:extLst>
                      <a:ext uri="{28A0092B-C50C-407E-A947-70E740481C1C}">
                        <a14:useLocalDpi xmlns:a14="http://schemas.microsoft.com/office/drawing/2010/main" val="0"/>
                      </a:ext>
                    </a:extLst>
                  </a:blip>
                  <a:stretch>
                    <a:fillRect/>
                  </a:stretch>
                </pic:blipFill>
                <pic:spPr>
                  <a:xfrm>
                    <a:off x="0" y="0"/>
                    <a:ext cx="600432" cy="338183"/>
                  </a:xfrm>
                  <a:prstGeom prst="rect">
                    <a:avLst/>
                  </a:prstGeom>
                </pic:spPr>
              </pic:pic>
            </a:graphicData>
          </a:graphic>
        </wp:anchor>
      </w:drawing>
    </w:r>
    <w:r w:rsidR="00467CED">
      <w:tab/>
    </w:r>
  </w:p>
  <w:p w14:paraId="5E00B6CD" w14:textId="701F9DB6" w:rsidR="00B272A6" w:rsidRPr="00654D0B" w:rsidRDefault="00467CED" w:rsidP="00F24984">
    <w:pPr>
      <w:pStyle w:val="En-tte"/>
      <w:rPr>
        <w:color w:val="808080"/>
        <w:lang w:val="fr-FR"/>
      </w:rPr>
    </w:pPr>
    <w:r w:rsidRPr="0035379B">
      <w:rPr>
        <w:lang w:val="fr-FR"/>
      </w:rPr>
      <w:tab/>
    </w:r>
    <w:r w:rsidRPr="00654D0B">
      <w:rPr>
        <w:color w:val="808080"/>
        <w:lang w:val="fr-FR"/>
      </w:rPr>
      <w:t>Convention d'usage de l’Applic</w:t>
    </w:r>
    <w:r w:rsidR="00654D0B" w:rsidRPr="00654D0B">
      <w:rPr>
        <w:color w:val="808080"/>
        <w:lang w:val="fr-FR"/>
      </w:rPr>
      <w:t>ation Multiservices Citoyenne Commune</w:t>
    </w:r>
    <w:r w:rsidRPr="00654D0B">
      <w:rPr>
        <w:lang w:val="fr-FR"/>
      </w:rPr>
      <w:tab/>
    </w:r>
  </w:p>
  <w:p w14:paraId="138DDBD2" w14:textId="77777777" w:rsidR="00467CED" w:rsidRPr="00467CED" w:rsidRDefault="00467CED" w:rsidP="00F24984">
    <w:pPr>
      <w:pStyle w:val="En-tte"/>
      <w:rPr>
        <w:rFonts w:ascii="Arial" w:hAnsi="Arial" w:cs="Arial"/>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9900" w14:textId="77777777" w:rsidR="0035379B" w:rsidRPr="00BA1A67" w:rsidRDefault="00C93160" w:rsidP="00BA1A67">
    <w:pPr>
      <w:pStyle w:val="En-tte"/>
      <w:tabs>
        <w:tab w:val="clear" w:pos="9072"/>
        <w:tab w:val="left" w:pos="6795"/>
      </w:tabs>
      <w:rPr>
        <w:sz w:val="20"/>
      </w:rPr>
    </w:pPr>
    <w:r>
      <w:rPr>
        <w:noProof/>
        <w:lang w:val="fr-FR" w:bidi="he-IL"/>
      </w:rPr>
      <w:drawing>
        <wp:inline distT="0" distB="0" distL="0" distR="0" wp14:anchorId="5B632BB5" wp14:editId="0690B478">
          <wp:extent cx="1797050" cy="928476"/>
          <wp:effectExtent l="0" t="0" r="0" b="508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ns baseline.jpg"/>
                  <pic:cNvPicPr/>
                </pic:nvPicPr>
                <pic:blipFill>
                  <a:blip r:embed="rId1">
                    <a:extLst>
                      <a:ext uri="{28A0092B-C50C-407E-A947-70E740481C1C}">
                        <a14:useLocalDpi xmlns:a14="http://schemas.microsoft.com/office/drawing/2010/main" val="0"/>
                      </a:ext>
                    </a:extLst>
                  </a:blip>
                  <a:stretch>
                    <a:fillRect/>
                  </a:stretch>
                </pic:blipFill>
                <pic:spPr>
                  <a:xfrm>
                    <a:off x="0" y="0"/>
                    <a:ext cx="1807600" cy="933927"/>
                  </a:xfrm>
                  <a:prstGeom prst="rect">
                    <a:avLst/>
                  </a:prstGeom>
                </pic:spPr>
              </pic:pic>
            </a:graphicData>
          </a:graphic>
        </wp:inline>
      </w:drawing>
    </w:r>
    <w:r w:rsidR="0035379B">
      <w:tab/>
    </w:r>
  </w:p>
  <w:p w14:paraId="2EA45477" w14:textId="77777777" w:rsidR="0035379B" w:rsidRPr="0035379B" w:rsidRDefault="0035379B">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B70"/>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569474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06D76"/>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9AA7594"/>
    <w:multiLevelType w:val="multilevel"/>
    <w:tmpl w:val="8AFA183C"/>
    <w:lvl w:ilvl="0">
      <w:start w:val="1"/>
      <w:numFmt w:val="decimal"/>
      <w:pStyle w:val="Titre1"/>
      <w:lvlText w:val="Article %1."/>
      <w:lvlJc w:val="left"/>
      <w:pPr>
        <w:tabs>
          <w:tab w:val="num" w:pos="1080"/>
        </w:tabs>
        <w:ind w:left="360" w:hanging="360"/>
      </w:pPr>
      <w:rPr>
        <w:rFonts w:ascii="Times New Roman" w:hAnsi="Times New Roman" w:cs="Times New Roman" w:hint="default"/>
        <w:b/>
      </w:rPr>
    </w:lvl>
    <w:lvl w:ilvl="1">
      <w:start w:val="1"/>
      <w:numFmt w:val="decimal"/>
      <w:pStyle w:val="Titre2"/>
      <w:lvlText w:val="%1.%2"/>
      <w:lvlJc w:val="left"/>
      <w:pPr>
        <w:tabs>
          <w:tab w:val="num" w:pos="720"/>
        </w:tabs>
        <w:ind w:left="720" w:hanging="360"/>
      </w:pPr>
      <w:rPr>
        <w:rFonts w:ascii="Times New Roman" w:hAnsi="Times New Roman" w:cs="Times New Roman" w:hint="default"/>
        <w:i w:val="0"/>
        <w:sz w:val="24"/>
        <w:szCs w:val="24"/>
      </w:rPr>
    </w:lvl>
    <w:lvl w:ilvl="2">
      <w:start w:val="1"/>
      <w:numFmt w:val="decimal"/>
      <w:pStyle w:val="Titre3"/>
      <w:lvlText w:val="%1.%2.%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DE107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76571C"/>
    <w:multiLevelType w:val="singleLevel"/>
    <w:tmpl w:val="8ACEA8F2"/>
    <w:lvl w:ilvl="0">
      <w:start w:val="1"/>
      <w:numFmt w:val="bullet"/>
      <w:pStyle w:val="NormalT3puce"/>
      <w:lvlText w:val=""/>
      <w:legacy w:legacy="1" w:legacySpace="0" w:legacyIndent="360"/>
      <w:lvlJc w:val="left"/>
      <w:pPr>
        <w:ind w:left="360" w:hanging="360"/>
      </w:pPr>
      <w:rPr>
        <w:rFonts w:ascii="Wingdings" w:hAnsi="Wingdings" w:hint="default"/>
      </w:rPr>
    </w:lvl>
  </w:abstractNum>
  <w:abstractNum w:abstractNumId="6" w15:restartNumberingAfterBreak="0">
    <w:nsid w:val="11B20E13"/>
    <w:multiLevelType w:val="hybridMultilevel"/>
    <w:tmpl w:val="02582204"/>
    <w:lvl w:ilvl="0" w:tplc="7F88FE94">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B5F6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A2066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932127"/>
    <w:multiLevelType w:val="multilevel"/>
    <w:tmpl w:val="FC20F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AD4322"/>
    <w:multiLevelType w:val="hybridMultilevel"/>
    <w:tmpl w:val="FE12A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E55F7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EA932D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F046E25"/>
    <w:multiLevelType w:val="singleLevel"/>
    <w:tmpl w:val="11C4C90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F231E6E"/>
    <w:multiLevelType w:val="hybridMultilevel"/>
    <w:tmpl w:val="15B40EB0"/>
    <w:lvl w:ilvl="0" w:tplc="C0285F00">
      <w:numFmt w:val="bullet"/>
      <w:lvlText w:val=""/>
      <w:lvlJc w:val="left"/>
      <w:pPr>
        <w:ind w:left="836" w:hanging="360"/>
      </w:pPr>
      <w:rPr>
        <w:rFonts w:ascii="Wingdings" w:eastAsia="Wingdings" w:hAnsi="Wingdings" w:cs="Wingdings" w:hint="default"/>
        <w:w w:val="100"/>
        <w:sz w:val="22"/>
        <w:szCs w:val="22"/>
      </w:rPr>
    </w:lvl>
    <w:lvl w:ilvl="1" w:tplc="F5183FFA">
      <w:numFmt w:val="bullet"/>
      <w:lvlText w:val="o"/>
      <w:lvlJc w:val="left"/>
      <w:pPr>
        <w:ind w:left="1556" w:hanging="360"/>
      </w:pPr>
      <w:rPr>
        <w:rFonts w:ascii="Courier New" w:eastAsia="Courier New" w:hAnsi="Courier New" w:cs="Courier New" w:hint="default"/>
        <w:w w:val="100"/>
        <w:sz w:val="22"/>
        <w:szCs w:val="22"/>
      </w:rPr>
    </w:lvl>
    <w:lvl w:ilvl="2" w:tplc="D6A2884E">
      <w:numFmt w:val="bullet"/>
      <w:lvlText w:val="•"/>
      <w:lvlJc w:val="left"/>
      <w:pPr>
        <w:ind w:left="1560" w:hanging="360"/>
      </w:pPr>
      <w:rPr>
        <w:rFonts w:hint="default"/>
      </w:rPr>
    </w:lvl>
    <w:lvl w:ilvl="3" w:tplc="B900CBE2">
      <w:numFmt w:val="bullet"/>
      <w:lvlText w:val="•"/>
      <w:lvlJc w:val="left"/>
      <w:pPr>
        <w:ind w:left="2575" w:hanging="360"/>
      </w:pPr>
      <w:rPr>
        <w:rFonts w:hint="default"/>
      </w:rPr>
    </w:lvl>
    <w:lvl w:ilvl="4" w:tplc="15269272">
      <w:numFmt w:val="bullet"/>
      <w:lvlText w:val="•"/>
      <w:lvlJc w:val="left"/>
      <w:pPr>
        <w:ind w:left="3591" w:hanging="360"/>
      </w:pPr>
      <w:rPr>
        <w:rFonts w:hint="default"/>
      </w:rPr>
    </w:lvl>
    <w:lvl w:ilvl="5" w:tplc="A3E620D2">
      <w:numFmt w:val="bullet"/>
      <w:lvlText w:val="•"/>
      <w:lvlJc w:val="left"/>
      <w:pPr>
        <w:ind w:left="4607" w:hanging="360"/>
      </w:pPr>
      <w:rPr>
        <w:rFonts w:hint="default"/>
      </w:rPr>
    </w:lvl>
    <w:lvl w:ilvl="6" w:tplc="8F788EDC">
      <w:numFmt w:val="bullet"/>
      <w:lvlText w:val="•"/>
      <w:lvlJc w:val="left"/>
      <w:pPr>
        <w:ind w:left="5623" w:hanging="360"/>
      </w:pPr>
      <w:rPr>
        <w:rFonts w:hint="default"/>
      </w:rPr>
    </w:lvl>
    <w:lvl w:ilvl="7" w:tplc="0BA62E6E">
      <w:numFmt w:val="bullet"/>
      <w:lvlText w:val="•"/>
      <w:lvlJc w:val="left"/>
      <w:pPr>
        <w:ind w:left="6639" w:hanging="360"/>
      </w:pPr>
      <w:rPr>
        <w:rFonts w:hint="default"/>
      </w:rPr>
    </w:lvl>
    <w:lvl w:ilvl="8" w:tplc="BE5A006E">
      <w:numFmt w:val="bullet"/>
      <w:lvlText w:val="•"/>
      <w:lvlJc w:val="left"/>
      <w:pPr>
        <w:ind w:left="7654" w:hanging="360"/>
      </w:pPr>
      <w:rPr>
        <w:rFonts w:hint="default"/>
      </w:rPr>
    </w:lvl>
  </w:abstractNum>
  <w:abstractNum w:abstractNumId="15" w15:restartNumberingAfterBreak="0">
    <w:nsid w:val="3039245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57B7FEB"/>
    <w:multiLevelType w:val="hybridMultilevel"/>
    <w:tmpl w:val="5F6C245C"/>
    <w:lvl w:ilvl="0" w:tplc="28D4C83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C12D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2C3785"/>
    <w:multiLevelType w:val="hybridMultilevel"/>
    <w:tmpl w:val="1C765F84"/>
    <w:lvl w:ilvl="0" w:tplc="B1326480">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98753D"/>
    <w:multiLevelType w:val="hybridMultilevel"/>
    <w:tmpl w:val="E7F2DF36"/>
    <w:lvl w:ilvl="0" w:tplc="FFFFFFFF">
      <w:start w:val="1"/>
      <w:numFmt w:val="lowerLetter"/>
      <w:pStyle w:val="premablelist"/>
      <w:lvlText w:val="%1)"/>
      <w:lvlJc w:val="left"/>
      <w:pPr>
        <w:tabs>
          <w:tab w:val="num" w:pos="360"/>
        </w:tabs>
        <w:ind w:left="360" w:hanging="360"/>
      </w:p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7053F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494128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7401F1"/>
    <w:multiLevelType w:val="singleLevel"/>
    <w:tmpl w:val="E8E8B948"/>
    <w:lvl w:ilvl="0">
      <w:numFmt w:val="bullet"/>
      <w:lvlText w:val=""/>
      <w:lvlJc w:val="left"/>
      <w:pPr>
        <w:tabs>
          <w:tab w:val="num" w:pos="360"/>
        </w:tabs>
        <w:ind w:left="360" w:hanging="360"/>
      </w:pPr>
      <w:rPr>
        <w:rFonts w:ascii="Wingdings" w:hAnsi="Wingdings" w:hint="default"/>
        <w:b/>
        <w:i w:val="0"/>
        <w:sz w:val="22"/>
      </w:rPr>
    </w:lvl>
  </w:abstractNum>
  <w:abstractNum w:abstractNumId="23" w15:restartNumberingAfterBreak="0">
    <w:nsid w:val="531B68B4"/>
    <w:multiLevelType w:val="singleLevel"/>
    <w:tmpl w:val="11C4C90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A16497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5BDA770C"/>
    <w:multiLevelType w:val="singleLevel"/>
    <w:tmpl w:val="E8E8B948"/>
    <w:lvl w:ilvl="0">
      <w:numFmt w:val="bullet"/>
      <w:lvlText w:val=""/>
      <w:lvlJc w:val="left"/>
      <w:pPr>
        <w:tabs>
          <w:tab w:val="num" w:pos="360"/>
        </w:tabs>
        <w:ind w:left="360" w:hanging="360"/>
      </w:pPr>
      <w:rPr>
        <w:rFonts w:ascii="Wingdings" w:hAnsi="Wingdings" w:hint="default"/>
        <w:b/>
        <w:i w:val="0"/>
        <w:sz w:val="22"/>
      </w:rPr>
    </w:lvl>
  </w:abstractNum>
  <w:abstractNum w:abstractNumId="26" w15:restartNumberingAfterBreak="0">
    <w:nsid w:val="6CC64504"/>
    <w:multiLevelType w:val="singleLevel"/>
    <w:tmpl w:val="1D82829A"/>
    <w:lvl w:ilvl="0">
      <w:numFmt w:val="bullet"/>
      <w:lvlText w:val=""/>
      <w:lvlJc w:val="left"/>
      <w:pPr>
        <w:tabs>
          <w:tab w:val="num" w:pos="360"/>
        </w:tabs>
        <w:ind w:left="360" w:hanging="360"/>
      </w:pPr>
      <w:rPr>
        <w:rFonts w:ascii="Wingdings" w:hAnsi="Wingdings" w:hint="default"/>
      </w:rPr>
    </w:lvl>
  </w:abstractNum>
  <w:abstractNum w:abstractNumId="27" w15:restartNumberingAfterBreak="0">
    <w:nsid w:val="744E349E"/>
    <w:multiLevelType w:val="hybridMultilevel"/>
    <w:tmpl w:val="198C4DD0"/>
    <w:lvl w:ilvl="0" w:tplc="47CE0B9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6F4259"/>
    <w:multiLevelType w:val="hybridMultilevel"/>
    <w:tmpl w:val="C8167E48"/>
    <w:lvl w:ilvl="0" w:tplc="D006ED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1"/>
  </w:num>
  <w:num w:numId="3">
    <w:abstractNumId w:val="12"/>
  </w:num>
  <w:num w:numId="4">
    <w:abstractNumId w:val="24"/>
  </w:num>
  <w:num w:numId="5">
    <w:abstractNumId w:val="20"/>
  </w:num>
  <w:num w:numId="6">
    <w:abstractNumId w:val="11"/>
  </w:num>
  <w:num w:numId="7">
    <w:abstractNumId w:val="0"/>
  </w:num>
  <w:num w:numId="8">
    <w:abstractNumId w:val="15"/>
  </w:num>
  <w:num w:numId="9">
    <w:abstractNumId w:val="2"/>
  </w:num>
  <w:num w:numId="10">
    <w:abstractNumId w:val="7"/>
  </w:num>
  <w:num w:numId="11">
    <w:abstractNumId w:val="17"/>
  </w:num>
  <w:num w:numId="12">
    <w:abstractNumId w:val="1"/>
  </w:num>
  <w:num w:numId="13">
    <w:abstractNumId w:val="4"/>
  </w:num>
  <w:num w:numId="14">
    <w:abstractNumId w:val="8"/>
  </w:num>
  <w:num w:numId="15">
    <w:abstractNumId w:val="26"/>
  </w:num>
  <w:num w:numId="16">
    <w:abstractNumId w:val="25"/>
  </w:num>
  <w:num w:numId="17">
    <w:abstractNumId w:val="5"/>
  </w:num>
  <w:num w:numId="18">
    <w:abstractNumId w:val="5"/>
  </w:num>
  <w:num w:numId="19">
    <w:abstractNumId w:val="5"/>
  </w:num>
  <w:num w:numId="20">
    <w:abstractNumId w:val="22"/>
  </w:num>
  <w:num w:numId="21">
    <w:abstractNumId w:val="13"/>
  </w:num>
  <w:num w:numId="22">
    <w:abstractNumId w:val="23"/>
  </w:num>
  <w:num w:numId="23">
    <w:abstractNumId w:val="10"/>
  </w:num>
  <w:num w:numId="24">
    <w:abstractNumId w:val="16"/>
  </w:num>
  <w:num w:numId="25">
    <w:abstractNumId w:val="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num>
  <w:num w:numId="30">
    <w:abstractNumId w:val="28"/>
  </w:num>
  <w:num w:numId="31">
    <w:abstractNumId w:val="18"/>
  </w:num>
  <w:num w:numId="32">
    <w:abstractNumId w:val="18"/>
  </w:num>
  <w:num w:numId="33">
    <w:abstractNumId w:val="19"/>
  </w:num>
  <w:num w:numId="34">
    <w:abstractNumId w:val="3"/>
  </w:num>
  <w:num w:numId="35">
    <w:abstractNumId w:val="3"/>
  </w:num>
  <w:num w:numId="36">
    <w:abstractNumId w:val="19"/>
  </w:num>
  <w:num w:numId="37">
    <w:abstractNumId w:val="3"/>
  </w:num>
  <w:num w:numId="38">
    <w:abstractNumId w:val="3"/>
  </w:num>
  <w:num w:numId="39">
    <w:abstractNumId w:val="3"/>
  </w:num>
  <w:num w:numId="40">
    <w:abstractNumId w:val="3"/>
  </w:num>
  <w:num w:numId="41">
    <w:abstractNumId w:val="3"/>
  </w:num>
  <w:num w:numId="42">
    <w:abstractNumId w:val="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colormru v:ext="edit" colors="#33c,#52529e,#66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F22"/>
    <w:rsid w:val="00001F76"/>
    <w:rsid w:val="00002F01"/>
    <w:rsid w:val="00005450"/>
    <w:rsid w:val="00013DE6"/>
    <w:rsid w:val="00014197"/>
    <w:rsid w:val="00016148"/>
    <w:rsid w:val="00016CFD"/>
    <w:rsid w:val="00021539"/>
    <w:rsid w:val="00025848"/>
    <w:rsid w:val="00034ADC"/>
    <w:rsid w:val="0003646C"/>
    <w:rsid w:val="0004131B"/>
    <w:rsid w:val="000422D9"/>
    <w:rsid w:val="000423E8"/>
    <w:rsid w:val="000427ED"/>
    <w:rsid w:val="00046D6D"/>
    <w:rsid w:val="00052876"/>
    <w:rsid w:val="000621DB"/>
    <w:rsid w:val="0006420D"/>
    <w:rsid w:val="000647E0"/>
    <w:rsid w:val="0006563E"/>
    <w:rsid w:val="000659D4"/>
    <w:rsid w:val="00067E1E"/>
    <w:rsid w:val="00067F01"/>
    <w:rsid w:val="00070887"/>
    <w:rsid w:val="00082E07"/>
    <w:rsid w:val="0009095E"/>
    <w:rsid w:val="00096A2C"/>
    <w:rsid w:val="000A1611"/>
    <w:rsid w:val="000A1916"/>
    <w:rsid w:val="000A4B2C"/>
    <w:rsid w:val="000A68FA"/>
    <w:rsid w:val="000A7EA2"/>
    <w:rsid w:val="000B14DF"/>
    <w:rsid w:val="000B22B6"/>
    <w:rsid w:val="000C0AD4"/>
    <w:rsid w:val="000C1455"/>
    <w:rsid w:val="000D37E2"/>
    <w:rsid w:val="000D5FEE"/>
    <w:rsid w:val="000D61D8"/>
    <w:rsid w:val="000E30DD"/>
    <w:rsid w:val="000F782F"/>
    <w:rsid w:val="000F7F83"/>
    <w:rsid w:val="00102031"/>
    <w:rsid w:val="00103A76"/>
    <w:rsid w:val="001040BF"/>
    <w:rsid w:val="00104A4A"/>
    <w:rsid w:val="0011367B"/>
    <w:rsid w:val="00114113"/>
    <w:rsid w:val="0012058F"/>
    <w:rsid w:val="00122FCA"/>
    <w:rsid w:val="0012367C"/>
    <w:rsid w:val="00126CC6"/>
    <w:rsid w:val="00144A55"/>
    <w:rsid w:val="00150552"/>
    <w:rsid w:val="001505CC"/>
    <w:rsid w:val="00150C56"/>
    <w:rsid w:val="001521A9"/>
    <w:rsid w:val="001542F7"/>
    <w:rsid w:val="00156EBF"/>
    <w:rsid w:val="00160A3D"/>
    <w:rsid w:val="001617DB"/>
    <w:rsid w:val="00163C6A"/>
    <w:rsid w:val="00164C13"/>
    <w:rsid w:val="00167597"/>
    <w:rsid w:val="0016770D"/>
    <w:rsid w:val="0017586D"/>
    <w:rsid w:val="0018018B"/>
    <w:rsid w:val="00182CFB"/>
    <w:rsid w:val="00187F0E"/>
    <w:rsid w:val="0019166E"/>
    <w:rsid w:val="00194AE8"/>
    <w:rsid w:val="001A0111"/>
    <w:rsid w:val="001A1A4C"/>
    <w:rsid w:val="001A1EC0"/>
    <w:rsid w:val="001A58EE"/>
    <w:rsid w:val="001A5FCE"/>
    <w:rsid w:val="001B128A"/>
    <w:rsid w:val="001B7D3B"/>
    <w:rsid w:val="001C242C"/>
    <w:rsid w:val="001C3A7E"/>
    <w:rsid w:val="001C528F"/>
    <w:rsid w:val="001C6F7A"/>
    <w:rsid w:val="001E104F"/>
    <w:rsid w:val="001E138B"/>
    <w:rsid w:val="001E22D1"/>
    <w:rsid w:val="001E2CB7"/>
    <w:rsid w:val="001E4EC8"/>
    <w:rsid w:val="001E75BF"/>
    <w:rsid w:val="001F337D"/>
    <w:rsid w:val="001F3B16"/>
    <w:rsid w:val="001F726A"/>
    <w:rsid w:val="002014AF"/>
    <w:rsid w:val="00203A6A"/>
    <w:rsid w:val="0020692C"/>
    <w:rsid w:val="00210861"/>
    <w:rsid w:val="00215A89"/>
    <w:rsid w:val="0022191D"/>
    <w:rsid w:val="0022441F"/>
    <w:rsid w:val="00226D3C"/>
    <w:rsid w:val="00234B92"/>
    <w:rsid w:val="0024253C"/>
    <w:rsid w:val="0024552A"/>
    <w:rsid w:val="00245F5D"/>
    <w:rsid w:val="00264288"/>
    <w:rsid w:val="00264DF5"/>
    <w:rsid w:val="00266690"/>
    <w:rsid w:val="00272889"/>
    <w:rsid w:val="00272C41"/>
    <w:rsid w:val="0027317D"/>
    <w:rsid w:val="002740A8"/>
    <w:rsid w:val="00291629"/>
    <w:rsid w:val="00295E55"/>
    <w:rsid w:val="002961F6"/>
    <w:rsid w:val="002A1226"/>
    <w:rsid w:val="002A2B89"/>
    <w:rsid w:val="002A48AE"/>
    <w:rsid w:val="002A5EFF"/>
    <w:rsid w:val="002A6EBE"/>
    <w:rsid w:val="002B0172"/>
    <w:rsid w:val="002B7223"/>
    <w:rsid w:val="002C06F4"/>
    <w:rsid w:val="002C17FB"/>
    <w:rsid w:val="002C4479"/>
    <w:rsid w:val="002C6CAB"/>
    <w:rsid w:val="002D09EA"/>
    <w:rsid w:val="002E02D9"/>
    <w:rsid w:val="002E2E77"/>
    <w:rsid w:val="002E337A"/>
    <w:rsid w:val="002E3DF8"/>
    <w:rsid w:val="002F18AC"/>
    <w:rsid w:val="002F7743"/>
    <w:rsid w:val="0030342B"/>
    <w:rsid w:val="00307484"/>
    <w:rsid w:val="00307C32"/>
    <w:rsid w:val="00321265"/>
    <w:rsid w:val="00321586"/>
    <w:rsid w:val="00330C7D"/>
    <w:rsid w:val="00332678"/>
    <w:rsid w:val="00335FD5"/>
    <w:rsid w:val="00343AD2"/>
    <w:rsid w:val="00345473"/>
    <w:rsid w:val="00347671"/>
    <w:rsid w:val="00351572"/>
    <w:rsid w:val="003517E8"/>
    <w:rsid w:val="0035379B"/>
    <w:rsid w:val="00354A0E"/>
    <w:rsid w:val="003600BA"/>
    <w:rsid w:val="00360276"/>
    <w:rsid w:val="003612BE"/>
    <w:rsid w:val="00367871"/>
    <w:rsid w:val="00372EE6"/>
    <w:rsid w:val="0037387E"/>
    <w:rsid w:val="003805FF"/>
    <w:rsid w:val="00384458"/>
    <w:rsid w:val="00393413"/>
    <w:rsid w:val="003944E1"/>
    <w:rsid w:val="003A48E4"/>
    <w:rsid w:val="003A6C85"/>
    <w:rsid w:val="003A777B"/>
    <w:rsid w:val="003B1C11"/>
    <w:rsid w:val="003C2A8D"/>
    <w:rsid w:val="003C3226"/>
    <w:rsid w:val="003C3579"/>
    <w:rsid w:val="003C464F"/>
    <w:rsid w:val="003C499D"/>
    <w:rsid w:val="003D2557"/>
    <w:rsid w:val="003D32B0"/>
    <w:rsid w:val="003D582E"/>
    <w:rsid w:val="003D6649"/>
    <w:rsid w:val="003E2681"/>
    <w:rsid w:val="003E344A"/>
    <w:rsid w:val="003E405A"/>
    <w:rsid w:val="003E5B9B"/>
    <w:rsid w:val="003E7F8A"/>
    <w:rsid w:val="003F018F"/>
    <w:rsid w:val="003F0A16"/>
    <w:rsid w:val="003F2283"/>
    <w:rsid w:val="004203B8"/>
    <w:rsid w:val="00420576"/>
    <w:rsid w:val="004205F4"/>
    <w:rsid w:val="004211EE"/>
    <w:rsid w:val="00422050"/>
    <w:rsid w:val="00424CD7"/>
    <w:rsid w:val="00424D3E"/>
    <w:rsid w:val="0042536E"/>
    <w:rsid w:val="004270F7"/>
    <w:rsid w:val="00441481"/>
    <w:rsid w:val="0044424C"/>
    <w:rsid w:val="00452615"/>
    <w:rsid w:val="0046355C"/>
    <w:rsid w:val="00465FC9"/>
    <w:rsid w:val="00467CED"/>
    <w:rsid w:val="00472745"/>
    <w:rsid w:val="004765AC"/>
    <w:rsid w:val="004801C4"/>
    <w:rsid w:val="00486ED8"/>
    <w:rsid w:val="00495D8C"/>
    <w:rsid w:val="00497C04"/>
    <w:rsid w:val="004A3141"/>
    <w:rsid w:val="004A39ED"/>
    <w:rsid w:val="004A462E"/>
    <w:rsid w:val="004A5B13"/>
    <w:rsid w:val="004B0A6F"/>
    <w:rsid w:val="004B0CC2"/>
    <w:rsid w:val="004B5C6B"/>
    <w:rsid w:val="004C0285"/>
    <w:rsid w:val="004C03CC"/>
    <w:rsid w:val="004C74A7"/>
    <w:rsid w:val="004D14F7"/>
    <w:rsid w:val="004D345A"/>
    <w:rsid w:val="004E6867"/>
    <w:rsid w:val="004E7454"/>
    <w:rsid w:val="004E7D1F"/>
    <w:rsid w:val="004F4661"/>
    <w:rsid w:val="004F628F"/>
    <w:rsid w:val="004F6BE5"/>
    <w:rsid w:val="005024F5"/>
    <w:rsid w:val="005034D9"/>
    <w:rsid w:val="005045B8"/>
    <w:rsid w:val="00511442"/>
    <w:rsid w:val="005178FC"/>
    <w:rsid w:val="00521124"/>
    <w:rsid w:val="00521354"/>
    <w:rsid w:val="00524CA3"/>
    <w:rsid w:val="00526CF6"/>
    <w:rsid w:val="00527092"/>
    <w:rsid w:val="005318B6"/>
    <w:rsid w:val="005370E0"/>
    <w:rsid w:val="00546E4F"/>
    <w:rsid w:val="00547EA9"/>
    <w:rsid w:val="005508A7"/>
    <w:rsid w:val="0055241C"/>
    <w:rsid w:val="00557E1C"/>
    <w:rsid w:val="0056049A"/>
    <w:rsid w:val="00563C89"/>
    <w:rsid w:val="00564255"/>
    <w:rsid w:val="00564307"/>
    <w:rsid w:val="0056565C"/>
    <w:rsid w:val="00574656"/>
    <w:rsid w:val="00575FA5"/>
    <w:rsid w:val="00580198"/>
    <w:rsid w:val="00586F44"/>
    <w:rsid w:val="00593B6D"/>
    <w:rsid w:val="00594C5A"/>
    <w:rsid w:val="005A7450"/>
    <w:rsid w:val="005B1D07"/>
    <w:rsid w:val="005B49CE"/>
    <w:rsid w:val="005B593D"/>
    <w:rsid w:val="005C3106"/>
    <w:rsid w:val="005C3EE2"/>
    <w:rsid w:val="005C5BD8"/>
    <w:rsid w:val="005C5F4A"/>
    <w:rsid w:val="005D365F"/>
    <w:rsid w:val="005D5362"/>
    <w:rsid w:val="005E26A3"/>
    <w:rsid w:val="005E2D9D"/>
    <w:rsid w:val="005E3198"/>
    <w:rsid w:val="005F0E17"/>
    <w:rsid w:val="0060082D"/>
    <w:rsid w:val="0060247C"/>
    <w:rsid w:val="00602612"/>
    <w:rsid w:val="006032B1"/>
    <w:rsid w:val="00605708"/>
    <w:rsid w:val="00614090"/>
    <w:rsid w:val="006170AC"/>
    <w:rsid w:val="00617AA2"/>
    <w:rsid w:val="00620D92"/>
    <w:rsid w:val="00622CF3"/>
    <w:rsid w:val="00623ED9"/>
    <w:rsid w:val="006338DE"/>
    <w:rsid w:val="00634F7A"/>
    <w:rsid w:val="00635BBA"/>
    <w:rsid w:val="00646D8F"/>
    <w:rsid w:val="006535EB"/>
    <w:rsid w:val="00653CE8"/>
    <w:rsid w:val="00654A6F"/>
    <w:rsid w:val="00654D0B"/>
    <w:rsid w:val="00656FF3"/>
    <w:rsid w:val="006621B0"/>
    <w:rsid w:val="00663C4C"/>
    <w:rsid w:val="00667B8A"/>
    <w:rsid w:val="00674CA6"/>
    <w:rsid w:val="00674D79"/>
    <w:rsid w:val="00674E75"/>
    <w:rsid w:val="00683697"/>
    <w:rsid w:val="006911C1"/>
    <w:rsid w:val="00695806"/>
    <w:rsid w:val="00696CB3"/>
    <w:rsid w:val="006A2DA4"/>
    <w:rsid w:val="006B4965"/>
    <w:rsid w:val="006B5DBB"/>
    <w:rsid w:val="006C2126"/>
    <w:rsid w:val="006C57C6"/>
    <w:rsid w:val="006D146C"/>
    <w:rsid w:val="006D1712"/>
    <w:rsid w:val="006D2FF8"/>
    <w:rsid w:val="006D3EAD"/>
    <w:rsid w:val="006E798F"/>
    <w:rsid w:val="006F44E3"/>
    <w:rsid w:val="006F5B97"/>
    <w:rsid w:val="007010E5"/>
    <w:rsid w:val="00701866"/>
    <w:rsid w:val="00704FF5"/>
    <w:rsid w:val="00706585"/>
    <w:rsid w:val="00716C68"/>
    <w:rsid w:val="00727214"/>
    <w:rsid w:val="00727A15"/>
    <w:rsid w:val="00733A06"/>
    <w:rsid w:val="007358DE"/>
    <w:rsid w:val="0074049C"/>
    <w:rsid w:val="0074475D"/>
    <w:rsid w:val="00744981"/>
    <w:rsid w:val="00752920"/>
    <w:rsid w:val="0075428D"/>
    <w:rsid w:val="00757151"/>
    <w:rsid w:val="00757AE8"/>
    <w:rsid w:val="007604DC"/>
    <w:rsid w:val="007624AA"/>
    <w:rsid w:val="00782A56"/>
    <w:rsid w:val="00782C55"/>
    <w:rsid w:val="00790E8B"/>
    <w:rsid w:val="00794AB7"/>
    <w:rsid w:val="007A1AC0"/>
    <w:rsid w:val="007B0096"/>
    <w:rsid w:val="007B0B7D"/>
    <w:rsid w:val="007C0D1C"/>
    <w:rsid w:val="007C0FC4"/>
    <w:rsid w:val="007C1345"/>
    <w:rsid w:val="007C43E9"/>
    <w:rsid w:val="007C50DC"/>
    <w:rsid w:val="007C6080"/>
    <w:rsid w:val="007D52E5"/>
    <w:rsid w:val="007D687D"/>
    <w:rsid w:val="007D6FEC"/>
    <w:rsid w:val="007E0F1D"/>
    <w:rsid w:val="007E1C06"/>
    <w:rsid w:val="007E5DBC"/>
    <w:rsid w:val="007F166C"/>
    <w:rsid w:val="007F3C07"/>
    <w:rsid w:val="00801E7A"/>
    <w:rsid w:val="00802AF6"/>
    <w:rsid w:val="00805BC1"/>
    <w:rsid w:val="008122A3"/>
    <w:rsid w:val="0082070B"/>
    <w:rsid w:val="00832332"/>
    <w:rsid w:val="0083243A"/>
    <w:rsid w:val="00833C49"/>
    <w:rsid w:val="00845976"/>
    <w:rsid w:val="00851B7D"/>
    <w:rsid w:val="008523E0"/>
    <w:rsid w:val="00856928"/>
    <w:rsid w:val="008618D8"/>
    <w:rsid w:val="00866D10"/>
    <w:rsid w:val="00872C82"/>
    <w:rsid w:val="008731C0"/>
    <w:rsid w:val="0088654F"/>
    <w:rsid w:val="008966FB"/>
    <w:rsid w:val="008A27B5"/>
    <w:rsid w:val="008B2B74"/>
    <w:rsid w:val="008C260C"/>
    <w:rsid w:val="008C7444"/>
    <w:rsid w:val="008D0EF6"/>
    <w:rsid w:val="008D3363"/>
    <w:rsid w:val="008D338D"/>
    <w:rsid w:val="008D3514"/>
    <w:rsid w:val="008D52F7"/>
    <w:rsid w:val="008F1B36"/>
    <w:rsid w:val="008F2931"/>
    <w:rsid w:val="008F2C74"/>
    <w:rsid w:val="008F3606"/>
    <w:rsid w:val="008F6F54"/>
    <w:rsid w:val="00902A0F"/>
    <w:rsid w:val="00903F22"/>
    <w:rsid w:val="009102E1"/>
    <w:rsid w:val="00914502"/>
    <w:rsid w:val="0091558D"/>
    <w:rsid w:val="009245E0"/>
    <w:rsid w:val="0092542E"/>
    <w:rsid w:val="00925723"/>
    <w:rsid w:val="00925BCB"/>
    <w:rsid w:val="009268D1"/>
    <w:rsid w:val="00930928"/>
    <w:rsid w:val="0093538E"/>
    <w:rsid w:val="00946182"/>
    <w:rsid w:val="00953DA1"/>
    <w:rsid w:val="00967496"/>
    <w:rsid w:val="009677F2"/>
    <w:rsid w:val="009735FB"/>
    <w:rsid w:val="00982056"/>
    <w:rsid w:val="0098273C"/>
    <w:rsid w:val="009868F0"/>
    <w:rsid w:val="00991CF6"/>
    <w:rsid w:val="00991EDE"/>
    <w:rsid w:val="009A14BD"/>
    <w:rsid w:val="009A234A"/>
    <w:rsid w:val="009A622A"/>
    <w:rsid w:val="009B217D"/>
    <w:rsid w:val="009B3BF8"/>
    <w:rsid w:val="009B3CB1"/>
    <w:rsid w:val="009C48ED"/>
    <w:rsid w:val="009C4F40"/>
    <w:rsid w:val="009D133D"/>
    <w:rsid w:val="009E0492"/>
    <w:rsid w:val="009E1AA5"/>
    <w:rsid w:val="009E4533"/>
    <w:rsid w:val="009E7D4A"/>
    <w:rsid w:val="009F6E30"/>
    <w:rsid w:val="00A01BEC"/>
    <w:rsid w:val="00A06D5D"/>
    <w:rsid w:val="00A07522"/>
    <w:rsid w:val="00A12A4E"/>
    <w:rsid w:val="00A16161"/>
    <w:rsid w:val="00A24D67"/>
    <w:rsid w:val="00A2673E"/>
    <w:rsid w:val="00A31835"/>
    <w:rsid w:val="00A31C0C"/>
    <w:rsid w:val="00A3234D"/>
    <w:rsid w:val="00A3264B"/>
    <w:rsid w:val="00A34B27"/>
    <w:rsid w:val="00A3537B"/>
    <w:rsid w:val="00A41523"/>
    <w:rsid w:val="00A42E9B"/>
    <w:rsid w:val="00A518A9"/>
    <w:rsid w:val="00A53A32"/>
    <w:rsid w:val="00A54780"/>
    <w:rsid w:val="00A565B9"/>
    <w:rsid w:val="00A761F6"/>
    <w:rsid w:val="00A76717"/>
    <w:rsid w:val="00A77551"/>
    <w:rsid w:val="00A77CE6"/>
    <w:rsid w:val="00A91498"/>
    <w:rsid w:val="00A92F33"/>
    <w:rsid w:val="00A9377C"/>
    <w:rsid w:val="00AA01C9"/>
    <w:rsid w:val="00AA77DB"/>
    <w:rsid w:val="00AB1732"/>
    <w:rsid w:val="00AB196D"/>
    <w:rsid w:val="00AB5112"/>
    <w:rsid w:val="00AC0874"/>
    <w:rsid w:val="00AC74D9"/>
    <w:rsid w:val="00AD3B33"/>
    <w:rsid w:val="00AD515F"/>
    <w:rsid w:val="00AE1C96"/>
    <w:rsid w:val="00AE6F22"/>
    <w:rsid w:val="00AF2C22"/>
    <w:rsid w:val="00AF3B73"/>
    <w:rsid w:val="00AF7638"/>
    <w:rsid w:val="00B142ED"/>
    <w:rsid w:val="00B15F72"/>
    <w:rsid w:val="00B16609"/>
    <w:rsid w:val="00B20869"/>
    <w:rsid w:val="00B228CE"/>
    <w:rsid w:val="00B272A6"/>
    <w:rsid w:val="00B350B1"/>
    <w:rsid w:val="00B35C60"/>
    <w:rsid w:val="00B432E1"/>
    <w:rsid w:val="00B43301"/>
    <w:rsid w:val="00B51222"/>
    <w:rsid w:val="00B56334"/>
    <w:rsid w:val="00B57A8E"/>
    <w:rsid w:val="00B63651"/>
    <w:rsid w:val="00B6731D"/>
    <w:rsid w:val="00B72CD6"/>
    <w:rsid w:val="00B82599"/>
    <w:rsid w:val="00B84CC2"/>
    <w:rsid w:val="00B86232"/>
    <w:rsid w:val="00B878DF"/>
    <w:rsid w:val="00B94830"/>
    <w:rsid w:val="00B95FE4"/>
    <w:rsid w:val="00B97F7E"/>
    <w:rsid w:val="00BA15D9"/>
    <w:rsid w:val="00BA1A67"/>
    <w:rsid w:val="00BA4A63"/>
    <w:rsid w:val="00BB2001"/>
    <w:rsid w:val="00BB5123"/>
    <w:rsid w:val="00BB529E"/>
    <w:rsid w:val="00BC088C"/>
    <w:rsid w:val="00BC1314"/>
    <w:rsid w:val="00BC14F7"/>
    <w:rsid w:val="00BC7711"/>
    <w:rsid w:val="00BC7AC1"/>
    <w:rsid w:val="00BC7F8F"/>
    <w:rsid w:val="00BD0052"/>
    <w:rsid w:val="00BD62DF"/>
    <w:rsid w:val="00BD7E29"/>
    <w:rsid w:val="00BE0081"/>
    <w:rsid w:val="00BE4FBC"/>
    <w:rsid w:val="00BF2889"/>
    <w:rsid w:val="00C019AD"/>
    <w:rsid w:val="00C036E0"/>
    <w:rsid w:val="00C03988"/>
    <w:rsid w:val="00C12A76"/>
    <w:rsid w:val="00C209AA"/>
    <w:rsid w:val="00C25BB7"/>
    <w:rsid w:val="00C34D1A"/>
    <w:rsid w:val="00C40390"/>
    <w:rsid w:val="00C409A9"/>
    <w:rsid w:val="00C40DB3"/>
    <w:rsid w:val="00C437D3"/>
    <w:rsid w:val="00C507C7"/>
    <w:rsid w:val="00C542AD"/>
    <w:rsid w:val="00C71E42"/>
    <w:rsid w:val="00C76C1E"/>
    <w:rsid w:val="00C82C24"/>
    <w:rsid w:val="00C83C53"/>
    <w:rsid w:val="00C845E3"/>
    <w:rsid w:val="00C85239"/>
    <w:rsid w:val="00C86ADB"/>
    <w:rsid w:val="00C93160"/>
    <w:rsid w:val="00CA23A1"/>
    <w:rsid w:val="00CA3610"/>
    <w:rsid w:val="00CA42C7"/>
    <w:rsid w:val="00CC0ED4"/>
    <w:rsid w:val="00CC31FB"/>
    <w:rsid w:val="00CC3B4F"/>
    <w:rsid w:val="00CC760B"/>
    <w:rsid w:val="00CD1F6C"/>
    <w:rsid w:val="00CF3216"/>
    <w:rsid w:val="00D065CF"/>
    <w:rsid w:val="00D07CDA"/>
    <w:rsid w:val="00D12BCF"/>
    <w:rsid w:val="00D21E1B"/>
    <w:rsid w:val="00D31A2B"/>
    <w:rsid w:val="00D33357"/>
    <w:rsid w:val="00D466A6"/>
    <w:rsid w:val="00D50561"/>
    <w:rsid w:val="00D53BB2"/>
    <w:rsid w:val="00D53FC2"/>
    <w:rsid w:val="00D60A13"/>
    <w:rsid w:val="00D60BDA"/>
    <w:rsid w:val="00D60E2D"/>
    <w:rsid w:val="00D64023"/>
    <w:rsid w:val="00D66A4B"/>
    <w:rsid w:val="00D70341"/>
    <w:rsid w:val="00D706A1"/>
    <w:rsid w:val="00D7302D"/>
    <w:rsid w:val="00D74871"/>
    <w:rsid w:val="00D769A2"/>
    <w:rsid w:val="00D91B9F"/>
    <w:rsid w:val="00D92306"/>
    <w:rsid w:val="00D94B89"/>
    <w:rsid w:val="00DA349D"/>
    <w:rsid w:val="00DB0959"/>
    <w:rsid w:val="00DB1E75"/>
    <w:rsid w:val="00DC7918"/>
    <w:rsid w:val="00DD0ED5"/>
    <w:rsid w:val="00DE4B4C"/>
    <w:rsid w:val="00DE6355"/>
    <w:rsid w:val="00E007C1"/>
    <w:rsid w:val="00E04965"/>
    <w:rsid w:val="00E12396"/>
    <w:rsid w:val="00E235E0"/>
    <w:rsid w:val="00E30BCF"/>
    <w:rsid w:val="00E312DA"/>
    <w:rsid w:val="00E34D64"/>
    <w:rsid w:val="00E61B27"/>
    <w:rsid w:val="00E64E9E"/>
    <w:rsid w:val="00E66975"/>
    <w:rsid w:val="00E82C4A"/>
    <w:rsid w:val="00E90BA9"/>
    <w:rsid w:val="00E978C9"/>
    <w:rsid w:val="00E97D55"/>
    <w:rsid w:val="00EA02A7"/>
    <w:rsid w:val="00EA19CA"/>
    <w:rsid w:val="00EA71D0"/>
    <w:rsid w:val="00EB1A8C"/>
    <w:rsid w:val="00EB39F6"/>
    <w:rsid w:val="00EB78B6"/>
    <w:rsid w:val="00EC5FE6"/>
    <w:rsid w:val="00EC798B"/>
    <w:rsid w:val="00ED0B90"/>
    <w:rsid w:val="00ED11A0"/>
    <w:rsid w:val="00ED48F5"/>
    <w:rsid w:val="00ED60C0"/>
    <w:rsid w:val="00ED6AB4"/>
    <w:rsid w:val="00ED6B3F"/>
    <w:rsid w:val="00ED730E"/>
    <w:rsid w:val="00EE036F"/>
    <w:rsid w:val="00EE3B46"/>
    <w:rsid w:val="00EE6AD1"/>
    <w:rsid w:val="00F00C82"/>
    <w:rsid w:val="00F04152"/>
    <w:rsid w:val="00F06F7F"/>
    <w:rsid w:val="00F07014"/>
    <w:rsid w:val="00F11537"/>
    <w:rsid w:val="00F2163D"/>
    <w:rsid w:val="00F23989"/>
    <w:rsid w:val="00F24984"/>
    <w:rsid w:val="00F30E0D"/>
    <w:rsid w:val="00F32B01"/>
    <w:rsid w:val="00F3364F"/>
    <w:rsid w:val="00F43C91"/>
    <w:rsid w:val="00F463E6"/>
    <w:rsid w:val="00F46577"/>
    <w:rsid w:val="00F52C3F"/>
    <w:rsid w:val="00F52ED1"/>
    <w:rsid w:val="00F53D41"/>
    <w:rsid w:val="00F563F0"/>
    <w:rsid w:val="00F61E39"/>
    <w:rsid w:val="00F63901"/>
    <w:rsid w:val="00F65C7B"/>
    <w:rsid w:val="00F66A92"/>
    <w:rsid w:val="00F70853"/>
    <w:rsid w:val="00F718B6"/>
    <w:rsid w:val="00F74A4C"/>
    <w:rsid w:val="00F76371"/>
    <w:rsid w:val="00F8028D"/>
    <w:rsid w:val="00F8237B"/>
    <w:rsid w:val="00F84334"/>
    <w:rsid w:val="00F91206"/>
    <w:rsid w:val="00F93163"/>
    <w:rsid w:val="00F93940"/>
    <w:rsid w:val="00F97061"/>
    <w:rsid w:val="00F97D90"/>
    <w:rsid w:val="00FA1522"/>
    <w:rsid w:val="00FA4FEF"/>
    <w:rsid w:val="00FB0747"/>
    <w:rsid w:val="00FB31DA"/>
    <w:rsid w:val="00FB5E05"/>
    <w:rsid w:val="00FC0286"/>
    <w:rsid w:val="00FC49B1"/>
    <w:rsid w:val="00FC6A6E"/>
    <w:rsid w:val="00FD111D"/>
    <w:rsid w:val="00FD6A5B"/>
    <w:rsid w:val="00FE373E"/>
    <w:rsid w:val="00FE6E1C"/>
    <w:rsid w:val="00FF178D"/>
    <w:rsid w:val="00FF30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33c,#52529e,#66f"/>
    </o:shapedefaults>
    <o:shapelayout v:ext="edit">
      <o:idmap v:ext="edit" data="1"/>
    </o:shapelayout>
  </w:shapeDefaults>
  <w:decimalSymbol w:val=","/>
  <w:listSeparator w:val=";"/>
  <w14:docId w14:val="4DBE738B"/>
  <w15:docId w15:val="{FDE882C9-B4C8-4511-8AB5-884DE41E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0E0D"/>
    <w:rPr>
      <w:sz w:val="24"/>
      <w:lang w:val="en-GB"/>
    </w:rPr>
  </w:style>
  <w:style w:type="paragraph" w:styleId="Titre1">
    <w:name w:val="heading 1"/>
    <w:basedOn w:val="Normal"/>
    <w:next w:val="Normal"/>
    <w:qFormat/>
    <w:rsid w:val="00F30E0D"/>
    <w:pPr>
      <w:keepNext/>
      <w:numPr>
        <w:numId w:val="35"/>
      </w:numPr>
      <w:jc w:val="both"/>
      <w:outlineLvl w:val="0"/>
    </w:pPr>
    <w:rPr>
      <w:b/>
      <w:szCs w:val="24"/>
      <w:lang w:val="fr-FR"/>
    </w:rPr>
  </w:style>
  <w:style w:type="paragraph" w:styleId="Titre2">
    <w:name w:val="heading 2"/>
    <w:basedOn w:val="Normal"/>
    <w:next w:val="Normal"/>
    <w:qFormat/>
    <w:rsid w:val="003F0A16"/>
    <w:pPr>
      <w:widowControl w:val="0"/>
      <w:numPr>
        <w:ilvl w:val="1"/>
        <w:numId w:val="35"/>
      </w:numPr>
      <w:tabs>
        <w:tab w:val="clear" w:pos="720"/>
        <w:tab w:val="num" w:pos="567"/>
      </w:tabs>
      <w:spacing w:before="120"/>
      <w:ind w:left="567" w:hanging="567"/>
      <w:jc w:val="both"/>
      <w:outlineLvl w:val="1"/>
    </w:pPr>
    <w:rPr>
      <w:lang w:val="fr-FR"/>
    </w:rPr>
  </w:style>
  <w:style w:type="paragraph" w:styleId="Titre3">
    <w:name w:val="heading 3"/>
    <w:basedOn w:val="Normal"/>
    <w:link w:val="Titre3Car"/>
    <w:qFormat/>
    <w:rsid w:val="00DC7918"/>
    <w:pPr>
      <w:numPr>
        <w:ilvl w:val="2"/>
        <w:numId w:val="35"/>
      </w:numPr>
      <w:spacing w:before="60"/>
      <w:jc w:val="both"/>
      <w:outlineLvl w:val="2"/>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T3">
    <w:name w:val="Normal T3"/>
    <w:basedOn w:val="Normal"/>
    <w:rsid w:val="001A1EC0"/>
    <w:pPr>
      <w:ind w:left="1418"/>
      <w:jc w:val="both"/>
    </w:pPr>
    <w:rPr>
      <w:rFonts w:ascii="Arial" w:hAnsi="Arial" w:cs="Arial"/>
      <w:snapToGrid w:val="0"/>
      <w:lang w:val="fr-FR"/>
    </w:rPr>
  </w:style>
  <w:style w:type="paragraph" w:customStyle="1" w:styleId="NormalT3puce">
    <w:name w:val="Normal T3 puce"/>
    <w:basedOn w:val="Normal"/>
    <w:rsid w:val="001A1EC0"/>
    <w:pPr>
      <w:numPr>
        <w:numId w:val="19"/>
      </w:numPr>
      <w:tabs>
        <w:tab w:val="left" w:pos="1843"/>
      </w:tabs>
      <w:jc w:val="both"/>
    </w:pPr>
    <w:rPr>
      <w:rFonts w:ascii="Arial" w:hAnsi="Arial" w:cs="Arial"/>
      <w:snapToGrid w:val="0"/>
      <w:lang w:val="fr-FR"/>
    </w:rPr>
  </w:style>
  <w:style w:type="paragraph" w:styleId="En-tte">
    <w:name w:val="header"/>
    <w:basedOn w:val="Normal"/>
    <w:link w:val="En-tteCar"/>
    <w:uiPriority w:val="99"/>
    <w:rsid w:val="001A1EC0"/>
    <w:pPr>
      <w:tabs>
        <w:tab w:val="center" w:pos="4536"/>
        <w:tab w:val="right" w:pos="9072"/>
      </w:tabs>
    </w:pPr>
  </w:style>
  <w:style w:type="paragraph" w:styleId="Pieddepage">
    <w:name w:val="footer"/>
    <w:basedOn w:val="Normal"/>
    <w:rsid w:val="001A1EC0"/>
    <w:pPr>
      <w:tabs>
        <w:tab w:val="center" w:pos="4536"/>
        <w:tab w:val="right" w:pos="9072"/>
      </w:tabs>
    </w:pPr>
  </w:style>
  <w:style w:type="paragraph" w:styleId="Corpsdetexte">
    <w:name w:val="Body Text"/>
    <w:basedOn w:val="Normal"/>
    <w:rsid w:val="001A1EC0"/>
    <w:pPr>
      <w:spacing w:before="120"/>
    </w:pPr>
    <w:rPr>
      <w:sz w:val="22"/>
      <w:szCs w:val="22"/>
      <w:lang w:val="fr-FR"/>
    </w:rPr>
  </w:style>
  <w:style w:type="character" w:styleId="Lienhypertexte">
    <w:name w:val="Hyperlink"/>
    <w:uiPriority w:val="99"/>
    <w:rsid w:val="001A1EC0"/>
    <w:rPr>
      <w:color w:val="0000FF"/>
      <w:u w:val="single"/>
    </w:rPr>
  </w:style>
  <w:style w:type="paragraph" w:styleId="Textedebulles">
    <w:name w:val="Balloon Text"/>
    <w:basedOn w:val="Normal"/>
    <w:link w:val="TextedebullesCar"/>
    <w:uiPriority w:val="99"/>
    <w:semiHidden/>
    <w:unhideWhenUsed/>
    <w:rsid w:val="00524CA3"/>
    <w:rPr>
      <w:rFonts w:ascii="Tahoma" w:hAnsi="Tahoma" w:cs="Tahoma"/>
      <w:sz w:val="16"/>
      <w:szCs w:val="16"/>
    </w:rPr>
  </w:style>
  <w:style w:type="character" w:customStyle="1" w:styleId="TextedebullesCar">
    <w:name w:val="Texte de bulles Car"/>
    <w:link w:val="Textedebulles"/>
    <w:uiPriority w:val="99"/>
    <w:semiHidden/>
    <w:rsid w:val="00524CA3"/>
    <w:rPr>
      <w:rFonts w:ascii="Tahoma" w:hAnsi="Tahoma" w:cs="Tahoma"/>
      <w:sz w:val="16"/>
      <w:szCs w:val="16"/>
      <w:lang w:val="en-GB"/>
    </w:rPr>
  </w:style>
  <w:style w:type="paragraph" w:styleId="Paragraphedeliste">
    <w:name w:val="List Paragraph"/>
    <w:basedOn w:val="Normal"/>
    <w:uiPriority w:val="1"/>
    <w:qFormat/>
    <w:rsid w:val="00B20869"/>
    <w:pPr>
      <w:ind w:left="720"/>
      <w:contextualSpacing/>
    </w:pPr>
    <w:rPr>
      <w:rFonts w:ascii="Cambria" w:eastAsia="MS Mincho" w:hAnsi="Cambria"/>
      <w:szCs w:val="24"/>
      <w:lang w:val="fr-FR"/>
    </w:rPr>
  </w:style>
  <w:style w:type="paragraph" w:customStyle="1" w:styleId="TitreDoc">
    <w:name w:val="TitreDoc"/>
    <w:basedOn w:val="Normal"/>
    <w:rsid w:val="003E344A"/>
    <w:pPr>
      <w:pBdr>
        <w:top w:val="single" w:sz="4" w:space="8" w:color="auto" w:shadow="1"/>
        <w:left w:val="single" w:sz="4" w:space="8" w:color="auto" w:shadow="1"/>
        <w:bottom w:val="single" w:sz="4" w:space="8" w:color="auto" w:shadow="1"/>
        <w:right w:val="single" w:sz="4" w:space="8" w:color="auto" w:shadow="1"/>
      </w:pBdr>
      <w:spacing w:before="120"/>
      <w:ind w:left="284" w:right="256"/>
      <w:jc w:val="center"/>
    </w:pPr>
    <w:rPr>
      <w:b/>
      <w:smallCaps/>
      <w:sz w:val="28"/>
      <w:lang w:val="fr-FR"/>
    </w:rPr>
  </w:style>
  <w:style w:type="paragraph" w:styleId="TM1">
    <w:name w:val="toc 1"/>
    <w:basedOn w:val="Normal"/>
    <w:next w:val="Normal"/>
    <w:autoRedefine/>
    <w:uiPriority w:val="39"/>
    <w:rsid w:val="00102031"/>
    <w:pPr>
      <w:tabs>
        <w:tab w:val="right" w:leader="dot" w:pos="9602"/>
      </w:tabs>
      <w:spacing w:before="120"/>
      <w:ind w:left="1701" w:hanging="1701"/>
      <w:jc w:val="both"/>
    </w:pPr>
    <w:rPr>
      <w:noProof/>
      <w:szCs w:val="24"/>
      <w:lang w:val="fr-FR"/>
    </w:rPr>
  </w:style>
  <w:style w:type="paragraph" w:customStyle="1" w:styleId="premablelist">
    <w:name w:val="premablelist"/>
    <w:basedOn w:val="Normal"/>
    <w:rsid w:val="00757AE8"/>
    <w:pPr>
      <w:numPr>
        <w:numId w:val="33"/>
      </w:numPr>
      <w:spacing w:before="120"/>
      <w:jc w:val="both"/>
    </w:pPr>
    <w:rPr>
      <w:lang w:val="fr-FR"/>
    </w:rPr>
  </w:style>
  <w:style w:type="character" w:customStyle="1" w:styleId="Titre3Car">
    <w:name w:val="Titre 3 Car"/>
    <w:link w:val="Titre3"/>
    <w:rsid w:val="00DC7918"/>
    <w:rPr>
      <w:sz w:val="24"/>
      <w:lang w:val="fr-FR" w:eastAsia="fr-FR" w:bidi="ar-SA"/>
    </w:rPr>
  </w:style>
  <w:style w:type="character" w:styleId="Marquedecommentaire">
    <w:name w:val="annotation reference"/>
    <w:semiHidden/>
    <w:rsid w:val="00272C41"/>
    <w:rPr>
      <w:sz w:val="16"/>
      <w:szCs w:val="16"/>
    </w:rPr>
  </w:style>
  <w:style w:type="paragraph" w:styleId="Commentaire">
    <w:name w:val="annotation text"/>
    <w:basedOn w:val="Normal"/>
    <w:semiHidden/>
    <w:rsid w:val="00272C41"/>
  </w:style>
  <w:style w:type="paragraph" w:styleId="Objetducommentaire">
    <w:name w:val="annotation subject"/>
    <w:basedOn w:val="Commentaire"/>
    <w:next w:val="Commentaire"/>
    <w:semiHidden/>
    <w:rsid w:val="00272C41"/>
    <w:rPr>
      <w:b/>
      <w:bCs/>
    </w:rPr>
  </w:style>
  <w:style w:type="paragraph" w:styleId="En-ttedetabledesmatires">
    <w:name w:val="TOC Heading"/>
    <w:basedOn w:val="Titre1"/>
    <w:next w:val="Normal"/>
    <w:uiPriority w:val="39"/>
    <w:qFormat/>
    <w:rsid w:val="009268D1"/>
    <w:pPr>
      <w:keepLines/>
      <w:spacing w:before="480" w:line="276" w:lineRule="auto"/>
      <w:jc w:val="left"/>
      <w:outlineLvl w:val="9"/>
    </w:pPr>
    <w:rPr>
      <w:rFonts w:ascii="Cambria" w:hAnsi="Cambria"/>
      <w:i/>
      <w:iCs/>
      <w:snapToGrid w:val="0"/>
      <w:color w:val="365F91"/>
      <w:sz w:val="28"/>
      <w:szCs w:val="28"/>
    </w:rPr>
  </w:style>
  <w:style w:type="paragraph" w:styleId="TM2">
    <w:name w:val="toc 2"/>
    <w:basedOn w:val="Normal"/>
    <w:next w:val="Normal"/>
    <w:autoRedefine/>
    <w:uiPriority w:val="39"/>
    <w:unhideWhenUsed/>
    <w:rsid w:val="009268D1"/>
    <w:pPr>
      <w:ind w:left="200"/>
    </w:pPr>
  </w:style>
  <w:style w:type="character" w:customStyle="1" w:styleId="apple-converted-space">
    <w:name w:val="apple-converted-space"/>
    <w:basedOn w:val="Policepardfaut"/>
    <w:rsid w:val="00360276"/>
  </w:style>
  <w:style w:type="character" w:customStyle="1" w:styleId="Mention1">
    <w:name w:val="Mention1"/>
    <w:basedOn w:val="Policepardfaut"/>
    <w:uiPriority w:val="99"/>
    <w:semiHidden/>
    <w:unhideWhenUsed/>
    <w:rsid w:val="00C93160"/>
    <w:rPr>
      <w:color w:val="2B579A"/>
      <w:shd w:val="clear" w:color="auto" w:fill="E6E6E6"/>
    </w:rPr>
  </w:style>
  <w:style w:type="character" w:customStyle="1" w:styleId="En-tteCar">
    <w:name w:val="En-tête Car"/>
    <w:basedOn w:val="Policepardfaut"/>
    <w:link w:val="En-tte"/>
    <w:uiPriority w:val="99"/>
    <w:rsid w:val="00467CED"/>
    <w:rPr>
      <w:lang w:val="en-GB"/>
    </w:rPr>
  </w:style>
  <w:style w:type="table" w:styleId="Grilledutableau">
    <w:name w:val="Table Grid"/>
    <w:basedOn w:val="TableauNormal"/>
    <w:uiPriority w:val="59"/>
    <w:rsid w:val="0087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2179">
      <w:bodyDiv w:val="1"/>
      <w:marLeft w:val="0"/>
      <w:marRight w:val="0"/>
      <w:marTop w:val="0"/>
      <w:marBottom w:val="0"/>
      <w:divBdr>
        <w:top w:val="none" w:sz="0" w:space="0" w:color="auto"/>
        <w:left w:val="none" w:sz="0" w:space="0" w:color="auto"/>
        <w:bottom w:val="none" w:sz="0" w:space="0" w:color="auto"/>
        <w:right w:val="none" w:sz="0" w:space="0" w:color="auto"/>
      </w:divBdr>
    </w:div>
    <w:div w:id="306017405">
      <w:bodyDiv w:val="1"/>
      <w:marLeft w:val="0"/>
      <w:marRight w:val="0"/>
      <w:marTop w:val="0"/>
      <w:marBottom w:val="0"/>
      <w:divBdr>
        <w:top w:val="none" w:sz="0" w:space="0" w:color="auto"/>
        <w:left w:val="none" w:sz="0" w:space="0" w:color="auto"/>
        <w:bottom w:val="none" w:sz="0" w:space="0" w:color="auto"/>
        <w:right w:val="none" w:sz="0" w:space="0" w:color="auto"/>
      </w:divBdr>
    </w:div>
    <w:div w:id="1000307981">
      <w:bodyDiv w:val="1"/>
      <w:marLeft w:val="0"/>
      <w:marRight w:val="0"/>
      <w:marTop w:val="0"/>
      <w:marBottom w:val="0"/>
      <w:divBdr>
        <w:top w:val="none" w:sz="0" w:space="0" w:color="auto"/>
        <w:left w:val="none" w:sz="0" w:space="0" w:color="auto"/>
        <w:bottom w:val="none" w:sz="0" w:space="0" w:color="auto"/>
        <w:right w:val="none" w:sz="0" w:space="0" w:color="auto"/>
      </w:divBdr>
    </w:div>
    <w:div w:id="1131048325">
      <w:bodyDiv w:val="1"/>
      <w:marLeft w:val="0"/>
      <w:marRight w:val="0"/>
      <w:marTop w:val="0"/>
      <w:marBottom w:val="0"/>
      <w:divBdr>
        <w:top w:val="none" w:sz="0" w:space="0" w:color="auto"/>
        <w:left w:val="none" w:sz="0" w:space="0" w:color="auto"/>
        <w:bottom w:val="none" w:sz="0" w:space="0" w:color="auto"/>
        <w:right w:val="none" w:sz="0" w:space="0" w:color="auto"/>
      </w:divBdr>
    </w:div>
    <w:div w:id="1180971903">
      <w:bodyDiv w:val="1"/>
      <w:marLeft w:val="0"/>
      <w:marRight w:val="0"/>
      <w:marTop w:val="0"/>
      <w:marBottom w:val="0"/>
      <w:divBdr>
        <w:top w:val="none" w:sz="0" w:space="0" w:color="auto"/>
        <w:left w:val="none" w:sz="0" w:space="0" w:color="auto"/>
        <w:bottom w:val="none" w:sz="0" w:space="0" w:color="auto"/>
        <w:right w:val="none" w:sz="0" w:space="0" w:color="auto"/>
      </w:divBdr>
    </w:div>
    <w:div w:id="1554927958">
      <w:bodyDiv w:val="1"/>
      <w:marLeft w:val="0"/>
      <w:marRight w:val="0"/>
      <w:marTop w:val="0"/>
      <w:marBottom w:val="0"/>
      <w:divBdr>
        <w:top w:val="none" w:sz="0" w:space="0" w:color="auto"/>
        <w:left w:val="none" w:sz="0" w:space="0" w:color="auto"/>
        <w:bottom w:val="none" w:sz="0" w:space="0" w:color="auto"/>
        <w:right w:val="none" w:sz="0" w:space="0" w:color="auto"/>
      </w:divBdr>
    </w:div>
    <w:div w:id="16294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rousselet@adce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5B4A-367A-4702-86FA-90983BDA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3095</Words>
  <Characters>17028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convention AMC Commune</vt:lpstr>
    </vt:vector>
  </TitlesOfParts>
  <Company>CNA</Company>
  <LinksUpToDate>false</LinksUpToDate>
  <CharactersWithSpaces>20083</CharactersWithSpaces>
  <SharedDoc>false</SharedDoc>
  <HLinks>
    <vt:vector size="60" baseType="variant">
      <vt:variant>
        <vt:i4>1114161</vt:i4>
      </vt:variant>
      <vt:variant>
        <vt:i4>50</vt:i4>
      </vt:variant>
      <vt:variant>
        <vt:i4>0</vt:i4>
      </vt:variant>
      <vt:variant>
        <vt:i4>5</vt:i4>
      </vt:variant>
      <vt:variant>
        <vt:lpwstr/>
      </vt:variant>
      <vt:variant>
        <vt:lpwstr>_Toc351968523</vt:lpwstr>
      </vt:variant>
      <vt:variant>
        <vt:i4>1114161</vt:i4>
      </vt:variant>
      <vt:variant>
        <vt:i4>44</vt:i4>
      </vt:variant>
      <vt:variant>
        <vt:i4>0</vt:i4>
      </vt:variant>
      <vt:variant>
        <vt:i4>5</vt:i4>
      </vt:variant>
      <vt:variant>
        <vt:lpwstr/>
      </vt:variant>
      <vt:variant>
        <vt:lpwstr>_Toc351968522</vt:lpwstr>
      </vt:variant>
      <vt:variant>
        <vt:i4>1114161</vt:i4>
      </vt:variant>
      <vt:variant>
        <vt:i4>38</vt:i4>
      </vt:variant>
      <vt:variant>
        <vt:i4>0</vt:i4>
      </vt:variant>
      <vt:variant>
        <vt:i4>5</vt:i4>
      </vt:variant>
      <vt:variant>
        <vt:lpwstr/>
      </vt:variant>
      <vt:variant>
        <vt:lpwstr>_Toc351968521</vt:lpwstr>
      </vt:variant>
      <vt:variant>
        <vt:i4>1114161</vt:i4>
      </vt:variant>
      <vt:variant>
        <vt:i4>32</vt:i4>
      </vt:variant>
      <vt:variant>
        <vt:i4>0</vt:i4>
      </vt:variant>
      <vt:variant>
        <vt:i4>5</vt:i4>
      </vt:variant>
      <vt:variant>
        <vt:lpwstr/>
      </vt:variant>
      <vt:variant>
        <vt:lpwstr>_Toc351968520</vt:lpwstr>
      </vt:variant>
      <vt:variant>
        <vt:i4>1179697</vt:i4>
      </vt:variant>
      <vt:variant>
        <vt:i4>26</vt:i4>
      </vt:variant>
      <vt:variant>
        <vt:i4>0</vt:i4>
      </vt:variant>
      <vt:variant>
        <vt:i4>5</vt:i4>
      </vt:variant>
      <vt:variant>
        <vt:lpwstr/>
      </vt:variant>
      <vt:variant>
        <vt:lpwstr>_Toc351968519</vt:lpwstr>
      </vt:variant>
      <vt:variant>
        <vt:i4>1179697</vt:i4>
      </vt:variant>
      <vt:variant>
        <vt:i4>20</vt:i4>
      </vt:variant>
      <vt:variant>
        <vt:i4>0</vt:i4>
      </vt:variant>
      <vt:variant>
        <vt:i4>5</vt:i4>
      </vt:variant>
      <vt:variant>
        <vt:lpwstr/>
      </vt:variant>
      <vt:variant>
        <vt:lpwstr>_Toc351968518</vt:lpwstr>
      </vt:variant>
      <vt:variant>
        <vt:i4>1179697</vt:i4>
      </vt:variant>
      <vt:variant>
        <vt:i4>14</vt:i4>
      </vt:variant>
      <vt:variant>
        <vt:i4>0</vt:i4>
      </vt:variant>
      <vt:variant>
        <vt:i4>5</vt:i4>
      </vt:variant>
      <vt:variant>
        <vt:lpwstr/>
      </vt:variant>
      <vt:variant>
        <vt:lpwstr>_Toc351968517</vt:lpwstr>
      </vt:variant>
      <vt:variant>
        <vt:i4>1179697</vt:i4>
      </vt:variant>
      <vt:variant>
        <vt:i4>8</vt:i4>
      </vt:variant>
      <vt:variant>
        <vt:i4>0</vt:i4>
      </vt:variant>
      <vt:variant>
        <vt:i4>5</vt:i4>
      </vt:variant>
      <vt:variant>
        <vt:lpwstr/>
      </vt:variant>
      <vt:variant>
        <vt:lpwstr>_Toc351968516</vt:lpwstr>
      </vt:variant>
      <vt:variant>
        <vt:i4>1179697</vt:i4>
      </vt:variant>
      <vt:variant>
        <vt:i4>2</vt:i4>
      </vt:variant>
      <vt:variant>
        <vt:i4>0</vt:i4>
      </vt:variant>
      <vt:variant>
        <vt:i4>5</vt:i4>
      </vt:variant>
      <vt:variant>
        <vt:lpwstr/>
      </vt:variant>
      <vt:variant>
        <vt:lpwstr>_Toc351968515</vt:lpwstr>
      </vt:variant>
      <vt:variant>
        <vt:i4>3539021</vt:i4>
      </vt:variant>
      <vt:variant>
        <vt:i4>6</vt:i4>
      </vt:variant>
      <vt:variant>
        <vt:i4>0</vt:i4>
      </vt:variant>
      <vt:variant>
        <vt:i4>5</vt:i4>
      </vt:variant>
      <vt:variant>
        <vt:lpwstr>mailto:contact@calypsonet-asso.org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AMC Commune</dc:title>
  <dc:creator>philippe Rousselet</dc:creator>
  <cp:lastModifiedBy>Emmanuel Delattre</cp:lastModifiedBy>
  <cp:revision>3</cp:revision>
  <cp:lastPrinted>2018-12-19T15:50:00Z</cp:lastPrinted>
  <dcterms:created xsi:type="dcterms:W3CDTF">2020-02-17T17:26:00Z</dcterms:created>
  <dcterms:modified xsi:type="dcterms:W3CDTF">2020-05-15T09:09:00Z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